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AC17" w14:textId="77777777" w:rsidR="009239F7" w:rsidRPr="002F6A28" w:rsidRDefault="001F4DD2" w:rsidP="002F6A28">
      <w:pPr>
        <w:pStyle w:val="Title"/>
        <w:rPr>
          <w:caps w:val="0"/>
          <w:kern w:val="0"/>
        </w:rPr>
      </w:pPr>
      <w:r w:rsidRPr="002F6A28">
        <w:rPr>
          <w:caps w:val="0"/>
          <w:kern w:val="0"/>
        </w:rPr>
        <w:t>NOTIFICATION</w:t>
      </w:r>
    </w:p>
    <w:p w14:paraId="448CC38D" w14:textId="77777777" w:rsidR="009239F7" w:rsidRPr="002F6A28" w:rsidRDefault="001F4DD2" w:rsidP="002F6A28">
      <w:pPr>
        <w:jc w:val="center"/>
      </w:pPr>
      <w:r w:rsidRPr="002F6A28">
        <w:t>The following notification is being circulated in accordance with Article 10.6</w:t>
      </w:r>
    </w:p>
    <w:p w14:paraId="6736BFD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D2215" w14:paraId="71EDCF17" w14:textId="77777777" w:rsidTr="0069259F">
        <w:tc>
          <w:tcPr>
            <w:tcW w:w="713" w:type="dxa"/>
            <w:tcBorders>
              <w:bottom w:val="single" w:sz="6" w:space="0" w:color="auto"/>
            </w:tcBorders>
            <w:shd w:val="clear" w:color="auto" w:fill="auto"/>
          </w:tcPr>
          <w:p w14:paraId="3A6B00E9" w14:textId="77777777" w:rsidR="00F85C99" w:rsidRPr="002F6A28" w:rsidRDefault="001F4DD2" w:rsidP="002F6A28">
            <w:pPr>
              <w:spacing w:before="120" w:after="120"/>
              <w:jc w:val="left"/>
            </w:pPr>
            <w:r w:rsidRPr="002F6A28">
              <w:rPr>
                <w:b/>
              </w:rPr>
              <w:t>1.</w:t>
            </w:r>
          </w:p>
        </w:tc>
        <w:tc>
          <w:tcPr>
            <w:tcW w:w="8546" w:type="dxa"/>
            <w:tcBorders>
              <w:bottom w:val="single" w:sz="6" w:space="0" w:color="auto"/>
            </w:tcBorders>
            <w:shd w:val="clear" w:color="auto" w:fill="auto"/>
          </w:tcPr>
          <w:p w14:paraId="360EC802" w14:textId="77777777" w:rsidR="00F85C99" w:rsidRPr="002F6A28" w:rsidRDefault="001F4DD2" w:rsidP="00C805B6">
            <w:pPr>
              <w:spacing w:before="120" w:after="120"/>
            </w:pPr>
            <w:r w:rsidRPr="002F6A28">
              <w:rPr>
                <w:b/>
              </w:rPr>
              <w:t>Notifying Member:</w:t>
            </w:r>
            <w:r w:rsidR="00EE3A11" w:rsidRPr="00C92678">
              <w:t xml:space="preserve"> </w:t>
            </w:r>
            <w:bookmarkStart w:id="0" w:name="sps1a"/>
            <w:r w:rsidR="00EE3A11" w:rsidRPr="00C92678">
              <w:rPr>
                <w:u w:val="single"/>
              </w:rPr>
              <w:t>AUSTRALIA</w:t>
            </w:r>
            <w:bookmarkEnd w:id="0"/>
          </w:p>
          <w:p w14:paraId="701BB4A3" w14:textId="77777777" w:rsidR="00F85C99" w:rsidRPr="002F6A28" w:rsidRDefault="001F4DD2" w:rsidP="002F6A28">
            <w:pPr>
              <w:spacing w:after="120"/>
            </w:pPr>
            <w:r w:rsidRPr="002F6A28">
              <w:rPr>
                <w:b/>
              </w:rPr>
              <w:t>If applicable, name of local government involved (Article 3.2 and 7.2):</w:t>
            </w:r>
            <w:r w:rsidR="00EE3A11" w:rsidRPr="00C379C8">
              <w:t xml:space="preserve"> </w:t>
            </w:r>
            <w:bookmarkStart w:id="1" w:name="sps1b"/>
            <w:bookmarkEnd w:id="1"/>
          </w:p>
        </w:tc>
      </w:tr>
      <w:tr w:rsidR="00DD2215" w14:paraId="63BB8C74" w14:textId="77777777" w:rsidTr="0069259F">
        <w:tc>
          <w:tcPr>
            <w:tcW w:w="713" w:type="dxa"/>
            <w:tcBorders>
              <w:top w:val="single" w:sz="6" w:space="0" w:color="auto"/>
              <w:bottom w:val="single" w:sz="6" w:space="0" w:color="auto"/>
            </w:tcBorders>
            <w:shd w:val="clear" w:color="auto" w:fill="auto"/>
          </w:tcPr>
          <w:p w14:paraId="4B2EAB8D" w14:textId="77777777" w:rsidR="00F85C99" w:rsidRPr="002F6A28" w:rsidRDefault="001F4DD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8782659" w14:textId="77777777" w:rsidR="00F85C99" w:rsidRPr="002F6A28" w:rsidRDefault="001F4DD2" w:rsidP="00155128">
            <w:pPr>
              <w:spacing w:before="120" w:after="120"/>
            </w:pPr>
            <w:r w:rsidRPr="002F6A28">
              <w:rPr>
                <w:b/>
              </w:rPr>
              <w:t>Agency responsible:</w:t>
            </w:r>
            <w:r w:rsidR="00EE3A11" w:rsidRPr="00C379C8">
              <w:t xml:space="preserve"> </w:t>
            </w:r>
            <w:bookmarkStart w:id="2" w:name="sps2a"/>
          </w:p>
          <w:p w14:paraId="14641447" w14:textId="77777777" w:rsidR="00EE3A11" w:rsidRPr="00C379C8" w:rsidRDefault="001F4DD2" w:rsidP="00155128">
            <w:pPr>
              <w:spacing w:after="120"/>
            </w:pPr>
            <w:r w:rsidRPr="00C379C8">
              <w:t>Therapeutic Goods Administration, Department of Health and Aged Care</w:t>
            </w:r>
            <w:bookmarkEnd w:id="2"/>
          </w:p>
          <w:p w14:paraId="5E6AA981" w14:textId="77777777" w:rsidR="00F85C99" w:rsidRPr="002F6A28" w:rsidRDefault="001F4DD2"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bookmarkStart w:id="3" w:name="sps4a"/>
          </w:p>
          <w:p w14:paraId="3CF59F2B" w14:textId="77777777" w:rsidR="00AC6C6E" w:rsidRPr="00C379C8" w:rsidRDefault="001F4DD2" w:rsidP="00AA646C">
            <w:r w:rsidRPr="00C379C8">
              <w:t>Australian TBT Enquiry Point</w:t>
            </w:r>
          </w:p>
          <w:p w14:paraId="35E7FE47" w14:textId="77777777" w:rsidR="00AC6C6E" w:rsidRPr="00C379C8" w:rsidRDefault="001F4DD2" w:rsidP="00AA646C">
            <w:r w:rsidRPr="00C379C8">
              <w:t>Department of Foreign Affairs and Trade</w:t>
            </w:r>
          </w:p>
          <w:p w14:paraId="2012B27A" w14:textId="77777777" w:rsidR="00AC6C6E" w:rsidRPr="00C379C8" w:rsidRDefault="001F4DD2" w:rsidP="00AA646C">
            <w:r w:rsidRPr="00C379C8">
              <w:t>Canberra ACT 0221</w:t>
            </w:r>
          </w:p>
          <w:p w14:paraId="0855AD25" w14:textId="77777777" w:rsidR="00AC6C6E" w:rsidRPr="00C379C8" w:rsidRDefault="001F4DD2" w:rsidP="00AA646C">
            <w:r w:rsidRPr="00C379C8">
              <w:t>Phone: +61 2 6261 1111</w:t>
            </w:r>
          </w:p>
          <w:p w14:paraId="59E0081B" w14:textId="77777777" w:rsidR="00AC6C6E" w:rsidRPr="00C379C8" w:rsidRDefault="001F4DD2" w:rsidP="00AA646C">
            <w:r w:rsidRPr="00C379C8">
              <w:t xml:space="preserve">Email: </w:t>
            </w:r>
            <w:hyperlink r:id="rId9" w:history="1">
              <w:r w:rsidRPr="00C379C8">
                <w:rPr>
                  <w:color w:val="0000FF"/>
                  <w:u w:val="single"/>
                </w:rPr>
                <w:t>tbt.enquiry@dfat.gov.au</w:t>
              </w:r>
            </w:hyperlink>
          </w:p>
          <w:p w14:paraId="02A3DF56" w14:textId="77777777" w:rsidR="00AC6C6E" w:rsidRPr="00C379C8" w:rsidRDefault="00F927FC" w:rsidP="00AA646C">
            <w:pPr>
              <w:spacing w:after="120"/>
            </w:pPr>
            <w:hyperlink r:id="rId10" w:history="1">
              <w:r w:rsidR="001F4DD2" w:rsidRPr="00696C26">
                <w:rPr>
                  <w:rStyle w:val="Hyperlink"/>
                </w:rPr>
                <w:t>www.dfat.gov.au</w:t>
              </w:r>
            </w:hyperlink>
            <w:bookmarkEnd w:id="3"/>
            <w:r w:rsidR="001F4DD2">
              <w:t xml:space="preserve"> </w:t>
            </w:r>
          </w:p>
        </w:tc>
      </w:tr>
      <w:tr w:rsidR="00DD2215" w14:paraId="67460099" w14:textId="77777777" w:rsidTr="0069259F">
        <w:tc>
          <w:tcPr>
            <w:tcW w:w="713" w:type="dxa"/>
            <w:tcBorders>
              <w:top w:val="single" w:sz="6" w:space="0" w:color="auto"/>
              <w:bottom w:val="single" w:sz="6" w:space="0" w:color="auto"/>
            </w:tcBorders>
            <w:shd w:val="clear" w:color="auto" w:fill="auto"/>
          </w:tcPr>
          <w:p w14:paraId="2D083069" w14:textId="77777777" w:rsidR="00F85C99" w:rsidRPr="002F6A28" w:rsidRDefault="001F4DD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E35F6B3" w14:textId="77777777" w:rsidR="00F85C99" w:rsidRPr="0058336F" w:rsidRDefault="001F4DD2"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bookmarkStart w:id="4" w:name="tbt3h"/>
            <w:bookmarkEnd w:id="4"/>
          </w:p>
        </w:tc>
      </w:tr>
      <w:tr w:rsidR="00DD2215" w14:paraId="2C2BF629" w14:textId="77777777" w:rsidTr="0069259F">
        <w:tc>
          <w:tcPr>
            <w:tcW w:w="713" w:type="dxa"/>
            <w:tcBorders>
              <w:top w:val="single" w:sz="6" w:space="0" w:color="auto"/>
              <w:bottom w:val="single" w:sz="6" w:space="0" w:color="auto"/>
            </w:tcBorders>
            <w:shd w:val="clear" w:color="auto" w:fill="auto"/>
          </w:tcPr>
          <w:p w14:paraId="0391EA0B" w14:textId="77777777" w:rsidR="00F85C99" w:rsidRPr="002F6A28" w:rsidRDefault="001F4DD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FCC5029" w14:textId="77777777" w:rsidR="00F85C99" w:rsidRPr="002F6A28" w:rsidRDefault="001F4DD2"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w:t>
            </w:r>
            <w:bookmarkStart w:id="5" w:name="sps3a"/>
            <w:r w:rsidR="00EE3A11" w:rsidRPr="00C379C8">
              <w:t>Medicines</w:t>
            </w:r>
            <w:bookmarkEnd w:id="5"/>
          </w:p>
        </w:tc>
      </w:tr>
      <w:tr w:rsidR="00DD2215" w14:paraId="59B9A2C3" w14:textId="77777777" w:rsidTr="0069259F">
        <w:tc>
          <w:tcPr>
            <w:tcW w:w="713" w:type="dxa"/>
            <w:tcBorders>
              <w:top w:val="single" w:sz="6" w:space="0" w:color="auto"/>
              <w:bottom w:val="single" w:sz="6" w:space="0" w:color="auto"/>
            </w:tcBorders>
            <w:shd w:val="clear" w:color="auto" w:fill="auto"/>
          </w:tcPr>
          <w:p w14:paraId="2D8F3E64" w14:textId="77777777" w:rsidR="00F85C99" w:rsidRPr="002F6A28" w:rsidRDefault="001F4DD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B593E58" w14:textId="77777777" w:rsidR="00F85C99" w:rsidRPr="002F6A28" w:rsidRDefault="001F4DD2" w:rsidP="002F6A28">
            <w:pPr>
              <w:spacing w:before="120" w:after="120"/>
            </w:pPr>
            <w:r w:rsidRPr="002F6A28">
              <w:rPr>
                <w:b/>
              </w:rPr>
              <w:t>Title, number of pages and language(s) of the notified document:</w:t>
            </w:r>
            <w:r w:rsidR="00EE3A11" w:rsidRPr="00C379C8">
              <w:t xml:space="preserve"> </w:t>
            </w:r>
            <w:bookmarkStart w:id="6" w:name="sps5a"/>
            <w:r w:rsidR="00EE3A11" w:rsidRPr="00C379C8">
              <w:t>Updates to medicine labelling rules: Public consultation on proposed changes to TGO 91 and TGO 92 to support medicine safety; (54 page(s), in English)</w:t>
            </w:r>
            <w:bookmarkEnd w:id="6"/>
          </w:p>
        </w:tc>
      </w:tr>
      <w:tr w:rsidR="00DD2215" w14:paraId="3687BFEF" w14:textId="77777777" w:rsidTr="0069259F">
        <w:tc>
          <w:tcPr>
            <w:tcW w:w="713" w:type="dxa"/>
            <w:tcBorders>
              <w:top w:val="single" w:sz="6" w:space="0" w:color="auto"/>
              <w:bottom w:val="single" w:sz="6" w:space="0" w:color="auto"/>
            </w:tcBorders>
            <w:shd w:val="clear" w:color="auto" w:fill="auto"/>
          </w:tcPr>
          <w:p w14:paraId="41A60927" w14:textId="77777777" w:rsidR="00F85C99" w:rsidRPr="002F6A28" w:rsidRDefault="001F4DD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9B9EFBE" w14:textId="77777777" w:rsidR="00F85C99" w:rsidRPr="002F6A28" w:rsidRDefault="001F4DD2" w:rsidP="002F6A28">
            <w:pPr>
              <w:spacing w:before="120" w:after="120"/>
              <w:rPr>
                <w:b/>
              </w:rPr>
            </w:pPr>
            <w:r w:rsidRPr="002F6A28">
              <w:rPr>
                <w:b/>
              </w:rPr>
              <w:t>Description of content:</w:t>
            </w:r>
            <w:r w:rsidR="00FE448B" w:rsidRPr="00C379C8">
              <w:t xml:space="preserve"> </w:t>
            </w:r>
            <w:bookmarkStart w:id="7" w:name="sps6a"/>
            <w:r w:rsidR="00FE448B" w:rsidRPr="00C379C8">
              <w:t xml:space="preserve">The </w:t>
            </w:r>
            <w:hyperlink r:id="rId11" w:history="1">
              <w:r w:rsidR="00FE448B" w:rsidRPr="00C379C8">
                <w:rPr>
                  <w:color w:val="0000FF"/>
                  <w:u w:val="single"/>
                </w:rPr>
                <w:t>Therapeutic Goods Administration</w:t>
              </w:r>
            </w:hyperlink>
            <w:r w:rsidR="00FE448B" w:rsidRPr="00C379C8">
              <w:t xml:space="preserve"> (TGA) is Australia's regulatory authority for therapeutic goods. There are provisions under the </w:t>
            </w:r>
            <w:hyperlink r:id="rId12" w:history="1">
              <w:r w:rsidR="00FE448B" w:rsidRPr="00C379C8">
                <w:rPr>
                  <w:i/>
                  <w:iCs/>
                  <w:color w:val="0000FF"/>
                  <w:u w:val="single"/>
                </w:rPr>
                <w:t>Therapeutic Goods Act 1989</w:t>
              </w:r>
            </w:hyperlink>
            <w:r w:rsidR="00FE448B" w:rsidRPr="00C379C8">
              <w:t xml:space="preserve"> to establish quality standards for therapeutic goods. These standards, known as Therapeutic Goods Orders (TGOs), can specify particular labelling, packaging or other requirements. Once approved, TGOs are registered as legislative instruments on the Federal Register of Legislation in Australia.</w:t>
            </w:r>
          </w:p>
          <w:p w14:paraId="0D2F05F2" w14:textId="77777777" w:rsidR="00FE448B" w:rsidRPr="00C379C8" w:rsidRDefault="001F4DD2" w:rsidP="002F6A28">
            <w:pPr>
              <w:spacing w:before="120" w:after="120"/>
            </w:pPr>
            <w:r w:rsidRPr="00C379C8">
              <w:t>To support the safe use of medicines, the TGA is proposing to update labelling requirements in the following TGOs:</w:t>
            </w:r>
          </w:p>
          <w:p w14:paraId="6003D80C" w14:textId="77777777" w:rsidR="00FE448B" w:rsidRPr="00C379C8" w:rsidRDefault="00F927FC" w:rsidP="002F6A28">
            <w:pPr>
              <w:numPr>
                <w:ilvl w:val="0"/>
                <w:numId w:val="16"/>
              </w:numPr>
              <w:spacing w:before="120" w:after="120"/>
            </w:pPr>
            <w:hyperlink r:id="rId13" w:history="1">
              <w:r w:rsidR="001F4DD2" w:rsidRPr="00C379C8">
                <w:rPr>
                  <w:color w:val="0000FF"/>
                  <w:u w:val="single"/>
                </w:rPr>
                <w:t>Therapeutic Goods Order No. 91 - Standard for labels of prescription and related medicines</w:t>
              </w:r>
            </w:hyperlink>
            <w:r w:rsidR="001F4DD2" w:rsidRPr="00C379C8">
              <w:t xml:space="preserve"> (TGO 91)</w:t>
            </w:r>
          </w:p>
          <w:p w14:paraId="0E843AF9" w14:textId="77777777" w:rsidR="00FE448B" w:rsidRPr="00C379C8" w:rsidRDefault="00F927FC" w:rsidP="002F6A28">
            <w:pPr>
              <w:numPr>
                <w:ilvl w:val="0"/>
                <w:numId w:val="16"/>
              </w:numPr>
              <w:spacing w:before="120" w:after="120"/>
            </w:pPr>
            <w:hyperlink r:id="rId14" w:history="1">
              <w:r w:rsidR="001F4DD2" w:rsidRPr="00C379C8">
                <w:rPr>
                  <w:color w:val="0000FF"/>
                  <w:u w:val="single"/>
                </w:rPr>
                <w:t>Therapeutic Goods Order No. 92 - Standard for labels of non-prescription medicines</w:t>
              </w:r>
            </w:hyperlink>
            <w:r w:rsidR="001F4DD2" w:rsidRPr="00C379C8">
              <w:t xml:space="preserve"> (TGO 92).</w:t>
            </w:r>
          </w:p>
          <w:p w14:paraId="01D72A8B" w14:textId="77777777" w:rsidR="00FE448B" w:rsidRPr="00C379C8" w:rsidRDefault="001F4DD2" w:rsidP="002F6A28">
            <w:pPr>
              <w:spacing w:before="120" w:after="120"/>
            </w:pPr>
            <w:r w:rsidRPr="00C379C8">
              <w:t xml:space="preserve">The TGA is conducting a </w:t>
            </w:r>
            <w:hyperlink r:id="rId15" w:history="1">
              <w:r w:rsidRPr="00C379C8">
                <w:rPr>
                  <w:color w:val="0000FF"/>
                  <w:u w:val="single"/>
                </w:rPr>
                <w:t>public consultation</w:t>
              </w:r>
            </w:hyperlink>
            <w:r w:rsidRPr="00C379C8">
              <w:t xml:space="preserve"> between 30 May and 11 July 2024 to seek feedback on proposed changes to TGO 91 and TGO 92 to address 3 medicines safety related matters.</w:t>
            </w:r>
            <w:bookmarkEnd w:id="7"/>
          </w:p>
        </w:tc>
      </w:tr>
      <w:tr w:rsidR="00DD2215" w14:paraId="3C6B7A14" w14:textId="77777777" w:rsidTr="0069259F">
        <w:tc>
          <w:tcPr>
            <w:tcW w:w="713" w:type="dxa"/>
            <w:tcBorders>
              <w:top w:val="single" w:sz="6" w:space="0" w:color="auto"/>
              <w:bottom w:val="single" w:sz="6" w:space="0" w:color="auto"/>
            </w:tcBorders>
            <w:shd w:val="clear" w:color="auto" w:fill="auto"/>
          </w:tcPr>
          <w:p w14:paraId="10DAF877" w14:textId="77777777" w:rsidR="00F85C99" w:rsidRPr="002F6A28" w:rsidRDefault="001F4DD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B7AA008" w14:textId="77777777" w:rsidR="00F85C99" w:rsidRPr="002F6A28" w:rsidRDefault="001F4DD2" w:rsidP="002F6A28">
            <w:pPr>
              <w:spacing w:before="120" w:after="120"/>
              <w:rPr>
                <w:b/>
              </w:rPr>
            </w:pPr>
            <w:r w:rsidRPr="002F6A28">
              <w:rPr>
                <w:b/>
              </w:rPr>
              <w:t>Objective and rationale, including the nature of urgent problems where applicable:</w:t>
            </w:r>
            <w:r w:rsidR="00EE3A11" w:rsidRPr="00C379C8">
              <w:t xml:space="preserve"> </w:t>
            </w:r>
            <w:bookmarkStart w:id="8" w:name="sps7f"/>
            <w:r w:rsidR="00EE3A11" w:rsidRPr="00C379C8">
              <w:t>Medicine labels communicate information to health professionals and consumers that is critical to support the correct and safe use of medicines. If it is difficult to identify medicines, or to locate and understand critical information, then medication errors are more likely to occur.</w:t>
            </w:r>
          </w:p>
          <w:p w14:paraId="6A5A3296" w14:textId="77777777" w:rsidR="00EE3A11" w:rsidRPr="00C379C8" w:rsidRDefault="001F4DD2" w:rsidP="002F6A28">
            <w:pPr>
              <w:spacing w:before="120" w:after="120"/>
            </w:pPr>
            <w:r w:rsidRPr="00C379C8">
              <w:t>Certain aspects of the labelling requirements in TGO 91 and TGO 92 need improvements to help make sure medicines are used correctly and safely.</w:t>
            </w:r>
          </w:p>
          <w:p w14:paraId="2153A2F9" w14:textId="77777777" w:rsidR="00EE3A11" w:rsidRPr="00C379C8" w:rsidRDefault="001F4DD2" w:rsidP="002F6A28">
            <w:pPr>
              <w:spacing w:before="120" w:after="120"/>
            </w:pPr>
            <w:r w:rsidRPr="00C379C8">
              <w:t>The TGA is seeking feedback to help make sure the proposed updates to TGO 91 and TGO 92 support medicine safety.</w:t>
            </w:r>
          </w:p>
          <w:p w14:paraId="209FF550" w14:textId="77777777" w:rsidR="00EE3A11" w:rsidRPr="00C379C8" w:rsidRDefault="001F4DD2" w:rsidP="002F6A28">
            <w:pPr>
              <w:spacing w:before="120" w:after="120"/>
            </w:pPr>
            <w:r w:rsidRPr="00C379C8">
              <w:t>The objectives of the proposed updates to TGO 91 and TGO 92 are to:</w:t>
            </w:r>
          </w:p>
          <w:p w14:paraId="3392C326" w14:textId="77777777" w:rsidR="00EE3A11" w:rsidRPr="00C379C8" w:rsidRDefault="001F4DD2" w:rsidP="002F6A28">
            <w:pPr>
              <w:numPr>
                <w:ilvl w:val="0"/>
                <w:numId w:val="17"/>
              </w:numPr>
              <w:spacing w:before="120" w:after="120"/>
            </w:pPr>
            <w:r w:rsidRPr="00C379C8">
              <w:t>Make sure that quantities of active ingredients in injectable medicines intended for electrolyte replacement are clearly expressed in units important to health professionals.</w:t>
            </w:r>
          </w:p>
          <w:p w14:paraId="20554E6A" w14:textId="77777777" w:rsidR="00EE3A11" w:rsidRPr="00C379C8" w:rsidRDefault="001F4DD2" w:rsidP="002F6A28">
            <w:pPr>
              <w:numPr>
                <w:ilvl w:val="0"/>
                <w:numId w:val="17"/>
              </w:numPr>
              <w:spacing w:before="120" w:after="120"/>
            </w:pPr>
            <w:r w:rsidRPr="00C379C8">
              <w:t xml:space="preserve">For medicines for injection administered by healthcare professionals that need some preparation before use, make sure that clear instructions on how to prepare and store these products is available to health professionals in the appropriate format. This is to support recent </w:t>
            </w:r>
            <w:hyperlink r:id="rId16" w:history="1">
              <w:r w:rsidRPr="00C379C8">
                <w:rPr>
                  <w:color w:val="0000FF"/>
                  <w:u w:val="single"/>
                </w:rPr>
                <w:t>changes to the Product Information (PI) as a package insert for injectable products</w:t>
              </w:r>
            </w:hyperlink>
            <w:r w:rsidRPr="00C379C8">
              <w:t>. We are particularly seeking feedback from health professionals on an option of allowing a QR code to link to electronic information instead of a separate package insert where preparation information cannot fit on the label.</w:t>
            </w:r>
          </w:p>
          <w:p w14:paraId="03AE0889" w14:textId="77777777" w:rsidR="00EE3A11" w:rsidRPr="00C379C8" w:rsidRDefault="001F4DD2" w:rsidP="002F6A28">
            <w:pPr>
              <w:numPr>
                <w:ilvl w:val="0"/>
                <w:numId w:val="17"/>
              </w:numPr>
              <w:spacing w:before="120" w:after="120"/>
            </w:pPr>
            <w:r w:rsidRPr="00C379C8">
              <w:t xml:space="preserve">Improve information on </w:t>
            </w:r>
            <w:hyperlink r:id="rId17" w:history="1">
              <w:r w:rsidRPr="00C379C8">
                <w:rPr>
                  <w:color w:val="0000FF"/>
                  <w:u w:val="single"/>
                </w:rPr>
                <w:t>listed medicine</w:t>
              </w:r>
            </w:hyperlink>
            <w:r w:rsidRPr="00C379C8">
              <w:t xml:space="preserve"> labels about large solid oral dosage forms intended to be swallowed whole. This is because the TGA continues to receive reports of serious choking related adverse events.</w:t>
            </w:r>
          </w:p>
          <w:p w14:paraId="468A22F2" w14:textId="77777777" w:rsidR="00EE3A11" w:rsidRPr="00C379C8" w:rsidRDefault="001F4DD2" w:rsidP="002F6A28">
            <w:pPr>
              <w:spacing w:before="120" w:after="120"/>
              <w:ind w:left="720"/>
            </w:pPr>
            <w:r w:rsidRPr="00C379C8">
              <w:t>; Consumer information, labelling; Protection of human health or safety</w:t>
            </w:r>
            <w:bookmarkEnd w:id="8"/>
          </w:p>
        </w:tc>
      </w:tr>
      <w:tr w:rsidR="00DD2215" w14:paraId="6F59E5B4" w14:textId="77777777" w:rsidTr="0069259F">
        <w:tc>
          <w:tcPr>
            <w:tcW w:w="713" w:type="dxa"/>
            <w:tcBorders>
              <w:top w:val="single" w:sz="6" w:space="0" w:color="auto"/>
              <w:bottom w:val="single" w:sz="6" w:space="0" w:color="auto"/>
            </w:tcBorders>
            <w:shd w:val="clear" w:color="auto" w:fill="auto"/>
          </w:tcPr>
          <w:p w14:paraId="023714C8" w14:textId="77777777" w:rsidR="00F85C99" w:rsidRPr="002F6A28" w:rsidRDefault="001F4DD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624E306" w14:textId="77777777" w:rsidR="00086AF5" w:rsidRPr="00086AF5" w:rsidRDefault="001F4DD2" w:rsidP="007F13E8">
            <w:pPr>
              <w:spacing w:before="120" w:after="120"/>
              <w:rPr>
                <w:bCs/>
              </w:rPr>
            </w:pPr>
            <w:r w:rsidRPr="002F6A28">
              <w:rPr>
                <w:b/>
              </w:rPr>
              <w:t>Relevant documents:</w:t>
            </w:r>
            <w:r w:rsidR="00EE3A11" w:rsidRPr="002F6A28">
              <w:t xml:space="preserve"> </w:t>
            </w:r>
            <w:bookmarkStart w:id="9" w:name="sps9a"/>
          </w:p>
          <w:p w14:paraId="202610A9" w14:textId="77777777" w:rsidR="00EE3A11" w:rsidRPr="002F6A28" w:rsidRDefault="001F4DD2" w:rsidP="007F13E8">
            <w:pPr>
              <w:spacing w:before="120" w:after="120"/>
            </w:pPr>
            <w:r w:rsidRPr="002F6A28">
              <w:t xml:space="preserve">The consultation paper is available at </w:t>
            </w:r>
            <w:hyperlink r:id="rId18" w:history="1">
              <w:r w:rsidRPr="002F6A28">
                <w:rPr>
                  <w:color w:val="0000FF"/>
                  <w:u w:val="single"/>
                </w:rPr>
                <w:t>https://consultations.tga.gov.au/medicines-regulation-division/updates-to-australian-medicines-labelling-rules</w:t>
              </w:r>
            </w:hyperlink>
            <w:r w:rsidRPr="002F6A28">
              <w:t>. This document outlines the proposed changes to TGO 91 and TGO 92 in 3 parts.</w:t>
            </w:r>
            <w:bookmarkEnd w:id="9"/>
          </w:p>
        </w:tc>
      </w:tr>
      <w:tr w:rsidR="00DD2215" w14:paraId="6A3D7479" w14:textId="77777777" w:rsidTr="00AE6CC8">
        <w:trPr>
          <w:cantSplit/>
        </w:trPr>
        <w:tc>
          <w:tcPr>
            <w:tcW w:w="713" w:type="dxa"/>
            <w:tcBorders>
              <w:top w:val="single" w:sz="6" w:space="0" w:color="auto"/>
              <w:bottom w:val="single" w:sz="6" w:space="0" w:color="auto"/>
            </w:tcBorders>
            <w:shd w:val="clear" w:color="auto" w:fill="auto"/>
          </w:tcPr>
          <w:p w14:paraId="66CE2113" w14:textId="77777777" w:rsidR="00EE3A11" w:rsidRPr="002F6A28" w:rsidRDefault="001F4DD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CD7CB52" w14:textId="77777777" w:rsidR="00EE3A11" w:rsidRPr="002F6A28" w:rsidRDefault="001F4DD2" w:rsidP="008953C4">
            <w:pPr>
              <w:spacing w:before="120" w:after="120"/>
            </w:pPr>
            <w:r w:rsidRPr="002F6A28">
              <w:rPr>
                <w:b/>
              </w:rPr>
              <w:t>Proposed date of adoption:</w:t>
            </w:r>
            <w:r w:rsidRPr="00C379C8">
              <w:t xml:space="preserve"> </w:t>
            </w:r>
            <w:bookmarkStart w:id="10" w:name="sps10a"/>
            <w:bookmarkStart w:id="11" w:name="sps10b"/>
            <w:bookmarkEnd w:id="10"/>
            <w:r w:rsidRPr="00C379C8">
              <w:t>The TGA is planning to implement changes to TGO 91 and TGO 92 in 2024 after consideration of feedback received during the public consultation.</w:t>
            </w:r>
            <w:bookmarkEnd w:id="11"/>
          </w:p>
          <w:p w14:paraId="4D9FAE1A" w14:textId="77777777" w:rsidR="00EE3A11" w:rsidRPr="002F6A28" w:rsidRDefault="001F4DD2" w:rsidP="008953C4">
            <w:pPr>
              <w:spacing w:after="120"/>
            </w:pPr>
            <w:r w:rsidRPr="002F6A28">
              <w:rPr>
                <w:b/>
              </w:rPr>
              <w:t>Proposed date of entry into force:</w:t>
            </w:r>
            <w:r w:rsidRPr="00C379C8">
              <w:t xml:space="preserve"> </w:t>
            </w:r>
            <w:bookmarkStart w:id="12" w:name="sps11a"/>
            <w:bookmarkStart w:id="13" w:name="sps11b"/>
            <w:bookmarkEnd w:id="12"/>
            <w:r w:rsidRPr="00C379C8">
              <w:t xml:space="preserve">To be determined We are proposing a 2-year transition period to allow medicines sponsors time to update labels to comply with the proposed new rules for: </w:t>
            </w:r>
          </w:p>
          <w:p w14:paraId="01E706D2" w14:textId="77777777" w:rsidR="00F22C7D" w:rsidRPr="00C379C8" w:rsidRDefault="001F4DD2" w:rsidP="008953C4">
            <w:pPr>
              <w:spacing w:after="120"/>
            </w:pPr>
            <w:r w:rsidRPr="00C379C8">
              <w:t>• expressing quantities of active ingredients in injectable medicines intended for electrolyte replacement (with a volume of 100 mL or less)</w:t>
            </w:r>
          </w:p>
          <w:p w14:paraId="16FD64EF" w14:textId="77777777" w:rsidR="00F22C7D" w:rsidRPr="00C379C8" w:rsidRDefault="001F4DD2" w:rsidP="008953C4">
            <w:pPr>
              <w:spacing w:after="120"/>
            </w:pPr>
            <w:r w:rsidRPr="00C379C8">
              <w:t>• improving information on listed medicine labels about large solid oral dosage forms intended to be swallowed whole.</w:t>
            </w:r>
          </w:p>
          <w:p w14:paraId="1215D29C" w14:textId="77777777" w:rsidR="00F22C7D" w:rsidRPr="00C379C8" w:rsidRDefault="001F4DD2" w:rsidP="008953C4">
            <w:pPr>
              <w:spacing w:after="120"/>
            </w:pPr>
            <w:r w:rsidRPr="00C379C8">
              <w:t>We welcome feedback in the public consultation about timeframes for the adoption of proposals and proposed transition periods.</w:t>
            </w:r>
            <w:bookmarkEnd w:id="13"/>
          </w:p>
        </w:tc>
      </w:tr>
      <w:tr w:rsidR="00DD2215" w14:paraId="13151EC5" w14:textId="77777777" w:rsidTr="0069259F">
        <w:tc>
          <w:tcPr>
            <w:tcW w:w="713" w:type="dxa"/>
            <w:tcBorders>
              <w:top w:val="single" w:sz="6" w:space="0" w:color="auto"/>
              <w:bottom w:val="single" w:sz="6" w:space="0" w:color="auto"/>
            </w:tcBorders>
            <w:shd w:val="clear" w:color="auto" w:fill="auto"/>
          </w:tcPr>
          <w:p w14:paraId="52AA42F0" w14:textId="77777777" w:rsidR="00F85C99" w:rsidRPr="002F6A28" w:rsidRDefault="001F4DD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8D6CA20" w14:textId="77777777" w:rsidR="00F85C99" w:rsidRPr="002F6A28" w:rsidRDefault="001F4DD2" w:rsidP="002F6A28">
            <w:pPr>
              <w:spacing w:before="120" w:after="120"/>
            </w:pPr>
            <w:r w:rsidRPr="002F6A28">
              <w:rPr>
                <w:b/>
              </w:rPr>
              <w:t>Final date for comments:</w:t>
            </w:r>
            <w:r w:rsidR="00EE3A11" w:rsidRPr="00C379C8">
              <w:t xml:space="preserve"> </w:t>
            </w:r>
            <w:bookmarkStart w:id="14" w:name="sps12a"/>
            <w:r w:rsidR="00EE3A11" w:rsidRPr="00C379C8">
              <w:t>60 days from notification</w:t>
            </w:r>
            <w:bookmarkEnd w:id="14"/>
          </w:p>
        </w:tc>
      </w:tr>
      <w:tr w:rsidR="00DD2215" w14:paraId="376C8A14" w14:textId="77777777" w:rsidTr="0069259F">
        <w:tc>
          <w:tcPr>
            <w:tcW w:w="713" w:type="dxa"/>
            <w:tcBorders>
              <w:top w:val="single" w:sz="6" w:space="0" w:color="auto"/>
            </w:tcBorders>
            <w:shd w:val="clear" w:color="auto" w:fill="auto"/>
          </w:tcPr>
          <w:p w14:paraId="2C4A29AF" w14:textId="77777777" w:rsidR="00F85C99" w:rsidRPr="002F6A28" w:rsidRDefault="001F4DD2"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42DE84E" w14:textId="77777777" w:rsidR="00F85C99" w:rsidRPr="002F6A28" w:rsidRDefault="001F4DD2"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bookmarkStart w:id="15" w:name="sps13c"/>
          </w:p>
          <w:p w14:paraId="6035C7FC" w14:textId="77777777" w:rsidR="00EE3A11" w:rsidRPr="00A12DDE" w:rsidRDefault="001F4DD2" w:rsidP="00B16145">
            <w:pPr>
              <w:keepNext/>
              <w:keepLines/>
              <w:rPr>
                <w:bCs/>
              </w:rPr>
            </w:pPr>
            <w:r w:rsidRPr="00A12DDE">
              <w:rPr>
                <w:bCs/>
              </w:rPr>
              <w:t xml:space="preserve">The consultation paper is available at </w:t>
            </w:r>
            <w:hyperlink r:id="rId19" w:tgtFrame="_blank" w:history="1">
              <w:r w:rsidRPr="00A12DDE">
                <w:rPr>
                  <w:bCs/>
                  <w:color w:val="0000FF"/>
                  <w:u w:val="single"/>
                </w:rPr>
                <w:t>https://consultations.tga.gov.au/medicines-regulation-division/updates-to-australian-medicines-labelling-rules</w:t>
              </w:r>
            </w:hyperlink>
            <w:r w:rsidRPr="00A12DDE">
              <w:rPr>
                <w:bCs/>
              </w:rPr>
              <w:t>.</w:t>
            </w:r>
          </w:p>
          <w:p w14:paraId="0A45EB9D" w14:textId="77777777" w:rsidR="00EE3A11" w:rsidRPr="00A12DDE" w:rsidRDefault="00F927FC" w:rsidP="00B16145">
            <w:pPr>
              <w:keepNext/>
              <w:keepLines/>
              <w:pBdr>
                <w:top w:val="none" w:sz="0" w:space="4" w:color="auto"/>
              </w:pBdr>
              <w:spacing w:after="120"/>
              <w:rPr>
                <w:bCs/>
              </w:rPr>
            </w:pPr>
            <w:hyperlink r:id="rId20" w:tgtFrame="_blank" w:history="1">
              <w:r w:rsidR="001F4DD2" w:rsidRPr="00A12DDE">
                <w:rPr>
                  <w:bCs/>
                  <w:color w:val="0000FF"/>
                  <w:u w:val="single"/>
                </w:rPr>
                <w:t>https://consultations.tga.gov.au/medicines-regulation-division/updates-to-australian-medicines-labelling-rules/user_uploads/consultation-paper---updates-to-medicine-labelling-rules---public-consultation-on-proposed-changes-to-tgo-91-and-tgo-92-to-support-medicine-safety---may-2024-1.pdf</w:t>
              </w:r>
            </w:hyperlink>
            <w:bookmarkEnd w:id="15"/>
          </w:p>
        </w:tc>
      </w:tr>
    </w:tbl>
    <w:p w14:paraId="59F9E2E7" w14:textId="77777777" w:rsidR="00EE3A11" w:rsidRPr="002F6A28" w:rsidRDefault="00EE3A11" w:rsidP="002F6A28"/>
    <w:sectPr w:rsidR="00EE3A11" w:rsidRPr="002F6A28" w:rsidSect="00760DB3">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0BFE" w14:textId="77777777" w:rsidR="001F4DD2" w:rsidRDefault="001F4DD2">
      <w:r>
        <w:separator/>
      </w:r>
    </w:p>
  </w:endnote>
  <w:endnote w:type="continuationSeparator" w:id="0">
    <w:p w14:paraId="44534773" w14:textId="77777777" w:rsidR="001F4DD2" w:rsidRDefault="001F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2751" w14:textId="77777777" w:rsidR="009239F7" w:rsidRPr="002F6A28" w:rsidRDefault="001F4DD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C568" w14:textId="77777777" w:rsidR="009239F7" w:rsidRPr="002F6A28" w:rsidRDefault="001F4DD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98B6" w14:textId="77777777" w:rsidR="00EE3A11" w:rsidRPr="002F6A28" w:rsidRDefault="001F4DD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0964" w14:textId="77777777" w:rsidR="001F4DD2" w:rsidRDefault="001F4DD2">
      <w:r>
        <w:separator/>
      </w:r>
    </w:p>
  </w:footnote>
  <w:footnote w:type="continuationSeparator" w:id="0">
    <w:p w14:paraId="4562708E" w14:textId="77777777" w:rsidR="001F4DD2" w:rsidRDefault="001F4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3D56" w14:textId="77777777" w:rsidR="009239F7" w:rsidRPr="002F6A28" w:rsidRDefault="001F4DD2" w:rsidP="009239F7">
    <w:pPr>
      <w:pStyle w:val="Header"/>
      <w:pBdr>
        <w:bottom w:val="single" w:sz="4" w:space="1" w:color="auto"/>
      </w:pBdr>
      <w:tabs>
        <w:tab w:val="clear" w:pos="4513"/>
        <w:tab w:val="clear" w:pos="9027"/>
      </w:tabs>
      <w:jc w:val="center"/>
    </w:pPr>
    <w:r w:rsidRPr="002F6A28">
      <w:t>tbtSymbol</w:t>
    </w:r>
  </w:p>
  <w:p w14:paraId="2B06C484" w14:textId="77777777" w:rsidR="009239F7" w:rsidRPr="002F6A28" w:rsidRDefault="009239F7" w:rsidP="009239F7">
    <w:pPr>
      <w:pStyle w:val="Header"/>
      <w:pBdr>
        <w:bottom w:val="single" w:sz="4" w:space="1" w:color="auto"/>
      </w:pBdr>
      <w:tabs>
        <w:tab w:val="clear" w:pos="4513"/>
        <w:tab w:val="clear" w:pos="9027"/>
      </w:tabs>
      <w:jc w:val="center"/>
    </w:pPr>
  </w:p>
  <w:p w14:paraId="3DADBF3D" w14:textId="77777777" w:rsidR="009239F7" w:rsidRPr="002F6A28" w:rsidRDefault="001F4DD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D8E655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B389" w14:textId="77777777" w:rsidR="009239F7" w:rsidRPr="002F6A28" w:rsidRDefault="001F4DD2" w:rsidP="009239F7">
    <w:pPr>
      <w:pStyle w:val="Header"/>
      <w:pBdr>
        <w:bottom w:val="single" w:sz="4" w:space="1" w:color="auto"/>
      </w:pBdr>
      <w:tabs>
        <w:tab w:val="clear" w:pos="4513"/>
        <w:tab w:val="clear" w:pos="9027"/>
      </w:tabs>
      <w:jc w:val="center"/>
    </w:pPr>
    <w:bookmarkStart w:id="16" w:name="spsSymbolHeader"/>
    <w:r w:rsidRPr="002F6A28">
      <w:t>G/TBT/N/AUS/169</w:t>
    </w:r>
    <w:bookmarkEnd w:id="16"/>
  </w:p>
  <w:p w14:paraId="48074C6F" w14:textId="77777777" w:rsidR="009239F7" w:rsidRPr="002F6A28" w:rsidRDefault="009239F7" w:rsidP="009239F7">
    <w:pPr>
      <w:pStyle w:val="Header"/>
      <w:pBdr>
        <w:bottom w:val="single" w:sz="4" w:space="1" w:color="auto"/>
      </w:pBdr>
      <w:tabs>
        <w:tab w:val="clear" w:pos="4513"/>
        <w:tab w:val="clear" w:pos="9027"/>
      </w:tabs>
      <w:jc w:val="center"/>
    </w:pPr>
  </w:p>
  <w:p w14:paraId="5B0C2AF8" w14:textId="77777777" w:rsidR="009239F7" w:rsidRPr="002F6A28" w:rsidRDefault="001F4DD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CD9547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2215" w14:paraId="7D2E8CA8" w14:textId="77777777" w:rsidTr="008612A9">
      <w:trPr>
        <w:trHeight w:val="240"/>
        <w:jc w:val="center"/>
      </w:trPr>
      <w:tc>
        <w:tcPr>
          <w:tcW w:w="3794" w:type="dxa"/>
          <w:shd w:val="clear" w:color="auto" w:fill="FFFFFF"/>
          <w:tcMar>
            <w:left w:w="108" w:type="dxa"/>
            <w:right w:w="108" w:type="dxa"/>
          </w:tcMar>
          <w:vAlign w:val="center"/>
        </w:tcPr>
        <w:p w14:paraId="74C1AA8C" w14:textId="77777777" w:rsidR="00ED54E0" w:rsidRPr="009239F7" w:rsidRDefault="00ED54E0" w:rsidP="00B801E9">
          <w:pPr>
            <w:rPr>
              <w:noProof/>
              <w:lang w:eastAsia="en-GB"/>
            </w:rPr>
          </w:pPr>
          <w:bookmarkStart w:id="17" w:name="bmkRestricted" w:colFirst="1" w:colLast="1"/>
        </w:p>
      </w:tc>
      <w:tc>
        <w:tcPr>
          <w:tcW w:w="5448" w:type="dxa"/>
          <w:gridSpan w:val="2"/>
          <w:shd w:val="clear" w:color="auto" w:fill="FFFFFF"/>
          <w:tcMar>
            <w:left w:w="108" w:type="dxa"/>
            <w:right w:w="108" w:type="dxa"/>
          </w:tcMar>
          <w:vAlign w:val="center"/>
        </w:tcPr>
        <w:p w14:paraId="44B8B618" w14:textId="77777777" w:rsidR="00ED54E0" w:rsidRPr="009239F7" w:rsidRDefault="00ED54E0" w:rsidP="00B801E9">
          <w:pPr>
            <w:jc w:val="right"/>
            <w:rPr>
              <w:b/>
              <w:color w:val="FF0000"/>
              <w:szCs w:val="16"/>
            </w:rPr>
          </w:pPr>
        </w:p>
      </w:tc>
    </w:tr>
    <w:bookmarkEnd w:id="17"/>
    <w:tr w:rsidR="00DD2215" w14:paraId="57683BAA" w14:textId="77777777" w:rsidTr="008612A9">
      <w:trPr>
        <w:trHeight w:val="213"/>
        <w:jc w:val="center"/>
      </w:trPr>
      <w:tc>
        <w:tcPr>
          <w:tcW w:w="3794" w:type="dxa"/>
          <w:vMerge w:val="restart"/>
          <w:shd w:val="clear" w:color="auto" w:fill="FFFFFF"/>
          <w:tcMar>
            <w:left w:w="0" w:type="dxa"/>
            <w:right w:w="0" w:type="dxa"/>
          </w:tcMar>
        </w:tcPr>
        <w:p w14:paraId="7DD71658" w14:textId="77777777" w:rsidR="00ED54E0" w:rsidRPr="009239F7" w:rsidRDefault="001F4DD2" w:rsidP="00B801E9">
          <w:pPr>
            <w:jc w:val="left"/>
          </w:pPr>
          <w:r>
            <w:rPr>
              <w:noProof/>
              <w:lang w:eastAsia="en-GB"/>
            </w:rPr>
            <w:drawing>
              <wp:inline distT="0" distB="0" distL="0" distR="0" wp14:anchorId="5608EAF7" wp14:editId="2F2AFAD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656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811DFD" w14:textId="77777777" w:rsidR="00ED54E0" w:rsidRPr="009239F7" w:rsidRDefault="00ED54E0" w:rsidP="00B801E9">
          <w:pPr>
            <w:jc w:val="right"/>
            <w:rPr>
              <w:b/>
              <w:szCs w:val="16"/>
            </w:rPr>
          </w:pPr>
        </w:p>
      </w:tc>
    </w:tr>
    <w:tr w:rsidR="00DD2215" w14:paraId="59754D1E" w14:textId="77777777" w:rsidTr="008612A9">
      <w:trPr>
        <w:trHeight w:val="868"/>
        <w:jc w:val="center"/>
      </w:trPr>
      <w:tc>
        <w:tcPr>
          <w:tcW w:w="3794" w:type="dxa"/>
          <w:vMerge/>
          <w:shd w:val="clear" w:color="auto" w:fill="FFFFFF"/>
          <w:tcMar>
            <w:left w:w="108" w:type="dxa"/>
            <w:right w:w="108" w:type="dxa"/>
          </w:tcMar>
        </w:tcPr>
        <w:p w14:paraId="54C5D0E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3EC408D" w14:textId="77777777" w:rsidR="009239F7" w:rsidRPr="002F6A28" w:rsidRDefault="001F4DD2" w:rsidP="00B801E9">
          <w:pPr>
            <w:jc w:val="right"/>
            <w:rPr>
              <w:b/>
              <w:szCs w:val="16"/>
            </w:rPr>
          </w:pPr>
          <w:bookmarkStart w:id="18" w:name="bmkSymbols"/>
          <w:r w:rsidRPr="002F6A28">
            <w:rPr>
              <w:b/>
              <w:szCs w:val="16"/>
            </w:rPr>
            <w:t>G/TBT/N/AUS/169</w:t>
          </w:r>
          <w:bookmarkEnd w:id="18"/>
        </w:p>
      </w:tc>
    </w:tr>
    <w:tr w:rsidR="00DD2215" w14:paraId="34A363C8" w14:textId="77777777" w:rsidTr="008612A9">
      <w:trPr>
        <w:trHeight w:val="240"/>
        <w:jc w:val="center"/>
      </w:trPr>
      <w:tc>
        <w:tcPr>
          <w:tcW w:w="3794" w:type="dxa"/>
          <w:vMerge/>
          <w:shd w:val="clear" w:color="auto" w:fill="FFFFFF"/>
          <w:tcMar>
            <w:left w:w="108" w:type="dxa"/>
            <w:right w:w="108" w:type="dxa"/>
          </w:tcMar>
          <w:vAlign w:val="center"/>
        </w:tcPr>
        <w:p w14:paraId="041C6752" w14:textId="77777777" w:rsidR="00ED54E0" w:rsidRPr="009239F7" w:rsidRDefault="00ED54E0" w:rsidP="00B801E9"/>
      </w:tc>
      <w:tc>
        <w:tcPr>
          <w:tcW w:w="5448" w:type="dxa"/>
          <w:gridSpan w:val="2"/>
          <w:shd w:val="clear" w:color="auto" w:fill="FFFFFF"/>
          <w:tcMar>
            <w:left w:w="108" w:type="dxa"/>
            <w:right w:w="108" w:type="dxa"/>
          </w:tcMar>
          <w:vAlign w:val="center"/>
        </w:tcPr>
        <w:p w14:paraId="50B46C16" w14:textId="605F55E7" w:rsidR="00ED54E0" w:rsidRPr="009239F7" w:rsidRDefault="001F4DD2" w:rsidP="00B801E9">
          <w:pPr>
            <w:jc w:val="right"/>
            <w:rPr>
              <w:szCs w:val="16"/>
            </w:rPr>
          </w:pPr>
          <w:bookmarkStart w:id="19" w:name="spsDateDistribution"/>
          <w:bookmarkStart w:id="20" w:name="bmkDate"/>
          <w:bookmarkEnd w:id="19"/>
          <w:bookmarkEnd w:id="20"/>
          <w:r>
            <w:rPr>
              <w:szCs w:val="16"/>
            </w:rPr>
            <w:t>31 May 2024</w:t>
          </w:r>
        </w:p>
      </w:tc>
    </w:tr>
    <w:tr w:rsidR="00DD2215" w14:paraId="761BB21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37B6AF" w14:textId="2AC593EA" w:rsidR="00ED54E0" w:rsidRPr="009239F7" w:rsidRDefault="001F4DD2" w:rsidP="0097650D">
          <w:pPr>
            <w:jc w:val="left"/>
            <w:rPr>
              <w:b/>
            </w:rPr>
          </w:pPr>
          <w:bookmarkStart w:id="21" w:name="bmkSerial"/>
          <w:r w:rsidRPr="002F6A28">
            <w:rPr>
              <w:color w:val="FF0000"/>
              <w:szCs w:val="16"/>
            </w:rPr>
            <w:t>(</w:t>
          </w:r>
          <w:bookmarkStart w:id="22" w:name="spsSerialNumber"/>
          <w:bookmarkEnd w:id="22"/>
          <w:r>
            <w:rPr>
              <w:color w:val="FF0000"/>
              <w:szCs w:val="16"/>
            </w:rPr>
            <w:t>24-</w:t>
          </w:r>
          <w:r w:rsidR="00F927FC">
            <w:rPr>
              <w:color w:val="FF0000"/>
              <w:szCs w:val="16"/>
            </w:rPr>
            <w:t>4169</w:t>
          </w:r>
          <w:r w:rsidRPr="002F6A28">
            <w:rPr>
              <w:color w:val="FF0000"/>
              <w:szCs w:val="16"/>
            </w:rPr>
            <w:t>)</w:t>
          </w:r>
          <w:bookmarkEnd w:id="21"/>
        </w:p>
      </w:tc>
      <w:tc>
        <w:tcPr>
          <w:tcW w:w="3325" w:type="dxa"/>
          <w:tcBorders>
            <w:bottom w:val="single" w:sz="4" w:space="0" w:color="auto"/>
          </w:tcBorders>
          <w:tcMar>
            <w:top w:w="0" w:type="dxa"/>
            <w:left w:w="108" w:type="dxa"/>
            <w:bottom w:w="57" w:type="dxa"/>
            <w:right w:w="108" w:type="dxa"/>
          </w:tcMar>
          <w:vAlign w:val="bottom"/>
        </w:tcPr>
        <w:p w14:paraId="23685F45" w14:textId="77777777" w:rsidR="00ED54E0" w:rsidRPr="009239F7" w:rsidRDefault="001F4DD2" w:rsidP="00B801E9">
          <w:pPr>
            <w:jc w:val="right"/>
            <w:rPr>
              <w:szCs w:val="16"/>
            </w:rPr>
          </w:pPr>
          <w:bookmarkStart w:id="23"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23"/>
        </w:p>
      </w:tc>
    </w:tr>
    <w:tr w:rsidR="00DD2215" w14:paraId="225B3A0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F8CA00F" w14:textId="77777777" w:rsidR="00ED54E0" w:rsidRPr="009239F7" w:rsidRDefault="001F4DD2" w:rsidP="00B801E9">
          <w:pPr>
            <w:jc w:val="left"/>
            <w:rPr>
              <w:sz w:val="14"/>
              <w:szCs w:val="16"/>
            </w:rPr>
          </w:pPr>
          <w:bookmarkStart w:id="24" w:name="bmkCommittee"/>
          <w:r w:rsidRPr="002F6A28">
            <w:rPr>
              <w:b/>
            </w:rPr>
            <w:t>Committee on Technical Barriers to Trade</w:t>
          </w:r>
          <w:bookmarkEnd w:id="24"/>
        </w:p>
      </w:tc>
      <w:tc>
        <w:tcPr>
          <w:tcW w:w="3325" w:type="dxa"/>
          <w:tcBorders>
            <w:top w:val="single" w:sz="4" w:space="0" w:color="auto"/>
          </w:tcBorders>
          <w:tcMar>
            <w:top w:w="113" w:type="dxa"/>
            <w:left w:w="108" w:type="dxa"/>
            <w:bottom w:w="57" w:type="dxa"/>
            <w:right w:w="108" w:type="dxa"/>
          </w:tcMar>
          <w:vAlign w:val="center"/>
        </w:tcPr>
        <w:p w14:paraId="70E528CD" w14:textId="77777777" w:rsidR="00ED54E0" w:rsidRPr="002F6A28" w:rsidRDefault="001F4DD2" w:rsidP="00B801E9">
          <w:pPr>
            <w:jc w:val="right"/>
            <w:rPr>
              <w:bCs/>
              <w:szCs w:val="18"/>
            </w:rPr>
          </w:pPr>
          <w:bookmarkStart w:id="25" w:name="bmkLanguage"/>
          <w:r w:rsidRPr="002F6A28">
            <w:rPr>
              <w:bCs/>
              <w:szCs w:val="18"/>
            </w:rPr>
            <w:t>Original:</w:t>
          </w:r>
          <w:r w:rsidR="00F263FA" w:rsidRPr="002F6A28">
            <w:rPr>
              <w:bCs/>
              <w:szCs w:val="18"/>
            </w:rPr>
            <w:t xml:space="preserve"> </w:t>
          </w:r>
          <w:bookmarkStart w:id="26" w:name="spsOriginalLanguage"/>
          <w:r w:rsidR="00F263FA" w:rsidRPr="002F6A28">
            <w:rPr>
              <w:bCs/>
              <w:szCs w:val="18"/>
            </w:rPr>
            <w:t>English</w:t>
          </w:r>
          <w:bookmarkEnd w:id="26"/>
          <w:bookmarkEnd w:id="25"/>
        </w:p>
      </w:tc>
    </w:tr>
  </w:tbl>
  <w:p w14:paraId="20CD2A2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CEDBBC">
      <w:start w:val="1"/>
      <w:numFmt w:val="decimal"/>
      <w:pStyle w:val="SummaryText"/>
      <w:lvlText w:val="%1."/>
      <w:lvlJc w:val="left"/>
      <w:pPr>
        <w:ind w:left="360" w:hanging="360"/>
      </w:pPr>
    </w:lvl>
    <w:lvl w:ilvl="1" w:tplc="4EFA3A72" w:tentative="1">
      <w:start w:val="1"/>
      <w:numFmt w:val="lowerLetter"/>
      <w:lvlText w:val="%2."/>
      <w:lvlJc w:val="left"/>
      <w:pPr>
        <w:ind w:left="1080" w:hanging="360"/>
      </w:pPr>
    </w:lvl>
    <w:lvl w:ilvl="2" w:tplc="9858F594" w:tentative="1">
      <w:start w:val="1"/>
      <w:numFmt w:val="lowerRoman"/>
      <w:lvlText w:val="%3."/>
      <w:lvlJc w:val="right"/>
      <w:pPr>
        <w:ind w:left="1800" w:hanging="180"/>
      </w:pPr>
    </w:lvl>
    <w:lvl w:ilvl="3" w:tplc="B37649A8" w:tentative="1">
      <w:start w:val="1"/>
      <w:numFmt w:val="decimal"/>
      <w:lvlText w:val="%4."/>
      <w:lvlJc w:val="left"/>
      <w:pPr>
        <w:ind w:left="2520" w:hanging="360"/>
      </w:pPr>
    </w:lvl>
    <w:lvl w:ilvl="4" w:tplc="2AAC89C6" w:tentative="1">
      <w:start w:val="1"/>
      <w:numFmt w:val="lowerLetter"/>
      <w:lvlText w:val="%5."/>
      <w:lvlJc w:val="left"/>
      <w:pPr>
        <w:ind w:left="3240" w:hanging="360"/>
      </w:pPr>
    </w:lvl>
    <w:lvl w:ilvl="5" w:tplc="067E5804" w:tentative="1">
      <w:start w:val="1"/>
      <w:numFmt w:val="lowerRoman"/>
      <w:lvlText w:val="%6."/>
      <w:lvlJc w:val="right"/>
      <w:pPr>
        <w:ind w:left="3960" w:hanging="180"/>
      </w:pPr>
    </w:lvl>
    <w:lvl w:ilvl="6" w:tplc="F8E03EC6" w:tentative="1">
      <w:start w:val="1"/>
      <w:numFmt w:val="decimal"/>
      <w:lvlText w:val="%7."/>
      <w:lvlJc w:val="left"/>
      <w:pPr>
        <w:ind w:left="4680" w:hanging="360"/>
      </w:pPr>
    </w:lvl>
    <w:lvl w:ilvl="7" w:tplc="8C82D83A" w:tentative="1">
      <w:start w:val="1"/>
      <w:numFmt w:val="lowerLetter"/>
      <w:lvlText w:val="%8."/>
      <w:lvlJc w:val="left"/>
      <w:pPr>
        <w:ind w:left="5400" w:hanging="360"/>
      </w:pPr>
    </w:lvl>
    <w:lvl w:ilvl="8" w:tplc="BF825D7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3062AD16">
      <w:start w:val="1"/>
      <w:numFmt w:val="bullet"/>
      <w:lvlText w:val=""/>
      <w:lvlJc w:val="left"/>
      <w:pPr>
        <w:ind w:left="720" w:hanging="360"/>
      </w:pPr>
      <w:rPr>
        <w:rFonts w:ascii="Symbol" w:hAnsi="Symbol"/>
      </w:rPr>
    </w:lvl>
    <w:lvl w:ilvl="1" w:tplc="916E8F9C">
      <w:start w:val="1"/>
      <w:numFmt w:val="bullet"/>
      <w:lvlText w:val="o"/>
      <w:lvlJc w:val="left"/>
      <w:pPr>
        <w:tabs>
          <w:tab w:val="num" w:pos="1440"/>
        </w:tabs>
        <w:ind w:left="1440" w:hanging="360"/>
      </w:pPr>
      <w:rPr>
        <w:rFonts w:ascii="Courier New" w:hAnsi="Courier New"/>
      </w:rPr>
    </w:lvl>
    <w:lvl w:ilvl="2" w:tplc="F134EA24">
      <w:start w:val="1"/>
      <w:numFmt w:val="bullet"/>
      <w:lvlText w:val=""/>
      <w:lvlJc w:val="left"/>
      <w:pPr>
        <w:tabs>
          <w:tab w:val="num" w:pos="2160"/>
        </w:tabs>
        <w:ind w:left="2160" w:hanging="360"/>
      </w:pPr>
      <w:rPr>
        <w:rFonts w:ascii="Wingdings" w:hAnsi="Wingdings"/>
      </w:rPr>
    </w:lvl>
    <w:lvl w:ilvl="3" w:tplc="E70A2DA6">
      <w:start w:val="1"/>
      <w:numFmt w:val="bullet"/>
      <w:lvlText w:val=""/>
      <w:lvlJc w:val="left"/>
      <w:pPr>
        <w:tabs>
          <w:tab w:val="num" w:pos="2880"/>
        </w:tabs>
        <w:ind w:left="2880" w:hanging="360"/>
      </w:pPr>
      <w:rPr>
        <w:rFonts w:ascii="Symbol" w:hAnsi="Symbol"/>
      </w:rPr>
    </w:lvl>
    <w:lvl w:ilvl="4" w:tplc="8CD2E470">
      <w:start w:val="1"/>
      <w:numFmt w:val="bullet"/>
      <w:lvlText w:val="o"/>
      <w:lvlJc w:val="left"/>
      <w:pPr>
        <w:tabs>
          <w:tab w:val="num" w:pos="3600"/>
        </w:tabs>
        <w:ind w:left="3600" w:hanging="360"/>
      </w:pPr>
      <w:rPr>
        <w:rFonts w:ascii="Courier New" w:hAnsi="Courier New"/>
      </w:rPr>
    </w:lvl>
    <w:lvl w:ilvl="5" w:tplc="5656A0BA">
      <w:start w:val="1"/>
      <w:numFmt w:val="bullet"/>
      <w:lvlText w:val=""/>
      <w:lvlJc w:val="left"/>
      <w:pPr>
        <w:tabs>
          <w:tab w:val="num" w:pos="4320"/>
        </w:tabs>
        <w:ind w:left="4320" w:hanging="360"/>
      </w:pPr>
      <w:rPr>
        <w:rFonts w:ascii="Wingdings" w:hAnsi="Wingdings"/>
      </w:rPr>
    </w:lvl>
    <w:lvl w:ilvl="6" w:tplc="7AF68E22">
      <w:start w:val="1"/>
      <w:numFmt w:val="bullet"/>
      <w:lvlText w:val=""/>
      <w:lvlJc w:val="left"/>
      <w:pPr>
        <w:tabs>
          <w:tab w:val="num" w:pos="5040"/>
        </w:tabs>
        <w:ind w:left="5040" w:hanging="360"/>
      </w:pPr>
      <w:rPr>
        <w:rFonts w:ascii="Symbol" w:hAnsi="Symbol"/>
      </w:rPr>
    </w:lvl>
    <w:lvl w:ilvl="7" w:tplc="4216D836">
      <w:start w:val="1"/>
      <w:numFmt w:val="bullet"/>
      <w:lvlText w:val="o"/>
      <w:lvlJc w:val="left"/>
      <w:pPr>
        <w:tabs>
          <w:tab w:val="num" w:pos="5760"/>
        </w:tabs>
        <w:ind w:left="5760" w:hanging="360"/>
      </w:pPr>
      <w:rPr>
        <w:rFonts w:ascii="Courier New" w:hAnsi="Courier New"/>
      </w:rPr>
    </w:lvl>
    <w:lvl w:ilvl="8" w:tplc="415CDF50">
      <w:start w:val="1"/>
      <w:numFmt w:val="bullet"/>
      <w:lvlText w:val=""/>
      <w:lvlJc w:val="left"/>
      <w:pPr>
        <w:tabs>
          <w:tab w:val="num" w:pos="6480"/>
        </w:tabs>
        <w:ind w:left="6480" w:hanging="360"/>
      </w:pPr>
      <w:rPr>
        <w:rFonts w:ascii="Wingdings" w:hAnsi="Wingdings"/>
      </w:rPr>
    </w:lvl>
  </w:abstractNum>
  <w:abstractNum w:abstractNumId="15" w15:restartNumberingAfterBreak="0">
    <w:nsid w:val="63D526BC"/>
    <w:multiLevelType w:val="hybridMultilevel"/>
    <w:tmpl w:val="63D526BC"/>
    <w:lvl w:ilvl="0" w:tplc="0BDEC07A">
      <w:start w:val="1"/>
      <w:numFmt w:val="bullet"/>
      <w:lvlText w:val=""/>
      <w:lvlJc w:val="left"/>
      <w:pPr>
        <w:ind w:left="720" w:hanging="360"/>
      </w:pPr>
      <w:rPr>
        <w:rFonts w:ascii="Symbol" w:hAnsi="Symbol"/>
      </w:rPr>
    </w:lvl>
    <w:lvl w:ilvl="1" w:tplc="B6487CB0">
      <w:start w:val="1"/>
      <w:numFmt w:val="bullet"/>
      <w:lvlText w:val="o"/>
      <w:lvlJc w:val="left"/>
      <w:pPr>
        <w:tabs>
          <w:tab w:val="num" w:pos="1440"/>
        </w:tabs>
        <w:ind w:left="1440" w:hanging="360"/>
      </w:pPr>
      <w:rPr>
        <w:rFonts w:ascii="Courier New" w:hAnsi="Courier New"/>
      </w:rPr>
    </w:lvl>
    <w:lvl w:ilvl="2" w:tplc="D3666AF8">
      <w:start w:val="1"/>
      <w:numFmt w:val="bullet"/>
      <w:lvlText w:val=""/>
      <w:lvlJc w:val="left"/>
      <w:pPr>
        <w:tabs>
          <w:tab w:val="num" w:pos="2160"/>
        </w:tabs>
        <w:ind w:left="2160" w:hanging="360"/>
      </w:pPr>
      <w:rPr>
        <w:rFonts w:ascii="Wingdings" w:hAnsi="Wingdings"/>
      </w:rPr>
    </w:lvl>
    <w:lvl w:ilvl="3" w:tplc="49DE49B2">
      <w:start w:val="1"/>
      <w:numFmt w:val="bullet"/>
      <w:lvlText w:val=""/>
      <w:lvlJc w:val="left"/>
      <w:pPr>
        <w:tabs>
          <w:tab w:val="num" w:pos="2880"/>
        </w:tabs>
        <w:ind w:left="2880" w:hanging="360"/>
      </w:pPr>
      <w:rPr>
        <w:rFonts w:ascii="Symbol" w:hAnsi="Symbol"/>
      </w:rPr>
    </w:lvl>
    <w:lvl w:ilvl="4" w:tplc="AA3C6E7C">
      <w:start w:val="1"/>
      <w:numFmt w:val="bullet"/>
      <w:lvlText w:val="o"/>
      <w:lvlJc w:val="left"/>
      <w:pPr>
        <w:tabs>
          <w:tab w:val="num" w:pos="3600"/>
        </w:tabs>
        <w:ind w:left="3600" w:hanging="360"/>
      </w:pPr>
      <w:rPr>
        <w:rFonts w:ascii="Courier New" w:hAnsi="Courier New"/>
      </w:rPr>
    </w:lvl>
    <w:lvl w:ilvl="5" w:tplc="FB382E9E">
      <w:start w:val="1"/>
      <w:numFmt w:val="bullet"/>
      <w:lvlText w:val=""/>
      <w:lvlJc w:val="left"/>
      <w:pPr>
        <w:tabs>
          <w:tab w:val="num" w:pos="4320"/>
        </w:tabs>
        <w:ind w:left="4320" w:hanging="360"/>
      </w:pPr>
      <w:rPr>
        <w:rFonts w:ascii="Wingdings" w:hAnsi="Wingdings"/>
      </w:rPr>
    </w:lvl>
    <w:lvl w:ilvl="6" w:tplc="B752387C">
      <w:start w:val="1"/>
      <w:numFmt w:val="bullet"/>
      <w:lvlText w:val=""/>
      <w:lvlJc w:val="left"/>
      <w:pPr>
        <w:tabs>
          <w:tab w:val="num" w:pos="5040"/>
        </w:tabs>
        <w:ind w:left="5040" w:hanging="360"/>
      </w:pPr>
      <w:rPr>
        <w:rFonts w:ascii="Symbol" w:hAnsi="Symbol"/>
      </w:rPr>
    </w:lvl>
    <w:lvl w:ilvl="7" w:tplc="77C64A12">
      <w:start w:val="1"/>
      <w:numFmt w:val="bullet"/>
      <w:lvlText w:val="o"/>
      <w:lvlJc w:val="left"/>
      <w:pPr>
        <w:tabs>
          <w:tab w:val="num" w:pos="5760"/>
        </w:tabs>
        <w:ind w:left="5760" w:hanging="360"/>
      </w:pPr>
      <w:rPr>
        <w:rFonts w:ascii="Courier New" w:hAnsi="Courier New"/>
      </w:rPr>
    </w:lvl>
    <w:lvl w:ilvl="8" w:tplc="E6E68788">
      <w:start w:val="1"/>
      <w:numFmt w:val="bullet"/>
      <w:lvlText w:val=""/>
      <w:lvlJc w:val="left"/>
      <w:pPr>
        <w:tabs>
          <w:tab w:val="num" w:pos="6480"/>
        </w:tabs>
        <w:ind w:left="6480" w:hanging="360"/>
      </w:pPr>
      <w:rPr>
        <w:rFonts w:ascii="Wingdings" w:hAnsi="Wingdings"/>
      </w:rPr>
    </w:lvl>
  </w:abstractNum>
  <w:num w:numId="1" w16cid:durableId="1010180522">
    <w:abstractNumId w:val="9"/>
  </w:num>
  <w:num w:numId="2" w16cid:durableId="608897957">
    <w:abstractNumId w:val="7"/>
  </w:num>
  <w:num w:numId="3" w16cid:durableId="614140437">
    <w:abstractNumId w:val="6"/>
  </w:num>
  <w:num w:numId="4" w16cid:durableId="1069768329">
    <w:abstractNumId w:val="5"/>
  </w:num>
  <w:num w:numId="5" w16cid:durableId="1620646365">
    <w:abstractNumId w:val="4"/>
  </w:num>
  <w:num w:numId="6" w16cid:durableId="851722216">
    <w:abstractNumId w:val="12"/>
  </w:num>
  <w:num w:numId="7" w16cid:durableId="515459572">
    <w:abstractNumId w:val="11"/>
  </w:num>
  <w:num w:numId="8" w16cid:durableId="1993828553">
    <w:abstractNumId w:val="10"/>
  </w:num>
  <w:num w:numId="9" w16cid:durableId="1001659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224087">
    <w:abstractNumId w:val="13"/>
  </w:num>
  <w:num w:numId="11" w16cid:durableId="1019164486">
    <w:abstractNumId w:val="8"/>
  </w:num>
  <w:num w:numId="12" w16cid:durableId="826288795">
    <w:abstractNumId w:val="3"/>
  </w:num>
  <w:num w:numId="13" w16cid:durableId="172844272">
    <w:abstractNumId w:val="2"/>
  </w:num>
  <w:num w:numId="14" w16cid:durableId="1083718319">
    <w:abstractNumId w:val="1"/>
  </w:num>
  <w:num w:numId="15" w16cid:durableId="1011637489">
    <w:abstractNumId w:val="0"/>
  </w:num>
  <w:num w:numId="16" w16cid:durableId="683093536">
    <w:abstractNumId w:val="14"/>
  </w:num>
  <w:num w:numId="17" w16cid:durableId="19528564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F4DD2"/>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96C26"/>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1B70"/>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D2215"/>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2C7D"/>
    <w:rsid w:val="00F263FA"/>
    <w:rsid w:val="00F32397"/>
    <w:rsid w:val="00F40595"/>
    <w:rsid w:val="00F650F7"/>
    <w:rsid w:val="00F85C99"/>
    <w:rsid w:val="00F85CDF"/>
    <w:rsid w:val="00F927FC"/>
    <w:rsid w:val="00F97AEE"/>
    <w:rsid w:val="00FA4811"/>
    <w:rsid w:val="00FA5EBC"/>
    <w:rsid w:val="00FB1B6E"/>
    <w:rsid w:val="00FC5D0F"/>
    <w:rsid w:val="00FD224A"/>
    <w:rsid w:val="00FD4593"/>
    <w:rsid w:val="00FD58DA"/>
    <w:rsid w:val="00FE057A"/>
    <w:rsid w:val="00FE3ED0"/>
    <w:rsid w:val="00FE448B"/>
    <w:rsid w:val="00FE606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9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FE6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au/Series/F2016L01285" TargetMode="External"/><Relationship Id="rId18" Type="http://schemas.openxmlformats.org/officeDocument/2006/relationships/hyperlink" Target="https://consultations.tga.gov.au/medicines-regulation-division/updates-to-australian-medicines-labelling-rule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legislation.gov.au/C2004A03952/latest/versions" TargetMode="External"/><Relationship Id="rId17" Type="http://schemas.openxmlformats.org/officeDocument/2006/relationships/hyperlink" Target="https://www.tga.gov.au/products/medicines/non-prescription-medicines/listed-medicine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tga.gov.au/products/australian-register-therapeutic-goods-artg/product-information/changes-product-information-pi-package-insert-injectable-products" TargetMode="External"/><Relationship Id="rId20" Type="http://schemas.openxmlformats.org/officeDocument/2006/relationships/hyperlink" Target="https://consultations.tga.gov.au/medicines-regulation-division/updates-to-australian-medicines-labelling-rules/user_uploads/consultation-paper---updates-to-medicine-labelling-rules---public-consultation-on-proposed-changes-to-tgo-91-and-tgo-92-to-support-medicine-safety---may-2024-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consultations.tga.gov.au/medicines-regulation-division/updates-to-australian-medicines-labelling-rul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dfat.gov.au" TargetMode="External"/><Relationship Id="rId19" Type="http://schemas.openxmlformats.org/officeDocument/2006/relationships/hyperlink" Target="https://consultations.tga.gov.au/medicines-regulation-division/updates-to-australian-medicines-labelling-rules" TargetMode="External"/><Relationship Id="rId4" Type="http://schemas.openxmlformats.org/officeDocument/2006/relationships/styles" Target="styles.xml"/><Relationship Id="rId9" Type="http://schemas.openxmlformats.org/officeDocument/2006/relationships/hyperlink" Target="mailto:tbt.enquiry@dfat.gov.au" TargetMode="External"/><Relationship Id="rId14" Type="http://schemas.openxmlformats.org/officeDocument/2006/relationships/hyperlink" Target="https://www.legislation.gov.au/Series/F2016L01287"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6722B82E-816C-4363-A118-6CCF392A846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3</Pages>
  <Words>958</Words>
  <Characters>5864</Characters>
  <Application>Microsoft Office Word</Application>
  <DocSecurity>0</DocSecurity>
  <Lines>122</Lines>
  <Paragraphs>73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2024-05-31T10:34:00Z</dcterms:created>
  <dcterms:modified xsi:type="dcterms:W3CDTF">2024-05-31T11:17:00Z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