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02082" w14:textId="77777777" w:rsidR="00EA4725" w:rsidRPr="00441372" w:rsidRDefault="005760A5" w:rsidP="003649FD">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C190E" w14:paraId="45870EB0" w14:textId="77777777" w:rsidTr="00F3021D">
        <w:tc>
          <w:tcPr>
            <w:tcW w:w="707" w:type="dxa"/>
            <w:tcBorders>
              <w:bottom w:val="single" w:sz="6" w:space="0" w:color="auto"/>
            </w:tcBorders>
            <w:shd w:val="clear" w:color="auto" w:fill="auto"/>
          </w:tcPr>
          <w:p w14:paraId="3E9BEFBF" w14:textId="77777777" w:rsidR="00EA4725" w:rsidRPr="00441372" w:rsidRDefault="005760A5" w:rsidP="00441372">
            <w:pPr>
              <w:spacing w:before="120" w:after="120"/>
              <w:jc w:val="left"/>
            </w:pPr>
            <w:r w:rsidRPr="00441372">
              <w:rPr>
                <w:b/>
              </w:rPr>
              <w:t>1.</w:t>
            </w:r>
          </w:p>
        </w:tc>
        <w:tc>
          <w:tcPr>
            <w:tcW w:w="8320" w:type="dxa"/>
            <w:tcBorders>
              <w:bottom w:val="single" w:sz="6" w:space="0" w:color="auto"/>
            </w:tcBorders>
            <w:shd w:val="clear" w:color="auto" w:fill="auto"/>
          </w:tcPr>
          <w:p w14:paraId="7F494807" w14:textId="77777777" w:rsidR="00EA4725" w:rsidRPr="00441372" w:rsidRDefault="005760A5" w:rsidP="00441372">
            <w:pPr>
              <w:spacing w:before="120" w:after="120"/>
            </w:pPr>
            <w:r w:rsidRPr="00441372">
              <w:rPr>
                <w:b/>
              </w:rPr>
              <w:t>Notifying Member:</w:t>
            </w:r>
            <w:r w:rsidRPr="0065690F">
              <w:t xml:space="preserve"> </w:t>
            </w:r>
            <w:r w:rsidRPr="0065690F">
              <w:rPr>
                <w:u w:val="single"/>
              </w:rPr>
              <w:t>CHINA</w:t>
            </w:r>
          </w:p>
          <w:p w14:paraId="395D25FC" w14:textId="77777777" w:rsidR="00EA4725" w:rsidRPr="00441372" w:rsidRDefault="005760A5" w:rsidP="00441372">
            <w:pPr>
              <w:spacing w:after="120"/>
            </w:pPr>
            <w:r w:rsidRPr="00441372">
              <w:rPr>
                <w:b/>
                <w:bCs/>
              </w:rPr>
              <w:t>If applicable, name of local government involved:</w:t>
            </w:r>
            <w:r w:rsidRPr="0065690F">
              <w:rPr>
                <w:bCs/>
              </w:rPr>
              <w:t xml:space="preserve"> </w:t>
            </w:r>
          </w:p>
        </w:tc>
      </w:tr>
      <w:tr w:rsidR="001C190E" w14:paraId="41D81C58" w14:textId="77777777" w:rsidTr="00F3021D">
        <w:tc>
          <w:tcPr>
            <w:tcW w:w="707" w:type="dxa"/>
            <w:tcBorders>
              <w:top w:val="single" w:sz="6" w:space="0" w:color="auto"/>
              <w:bottom w:val="single" w:sz="6" w:space="0" w:color="auto"/>
            </w:tcBorders>
            <w:shd w:val="clear" w:color="auto" w:fill="auto"/>
          </w:tcPr>
          <w:p w14:paraId="694B3D1E" w14:textId="77777777" w:rsidR="00EA4725" w:rsidRPr="00441372" w:rsidRDefault="005760A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674972C" w14:textId="77777777" w:rsidR="00EA4725" w:rsidRPr="00441372" w:rsidRDefault="005760A5" w:rsidP="00441372">
            <w:pPr>
              <w:spacing w:before="120" w:after="120"/>
            </w:pPr>
            <w:r w:rsidRPr="00441372">
              <w:rPr>
                <w:b/>
              </w:rPr>
              <w:t>Agency responsible:</w:t>
            </w:r>
            <w:r w:rsidRPr="0065690F">
              <w:t xml:space="preserve"> National Health Commission of the People's Republic of China</w:t>
            </w:r>
          </w:p>
        </w:tc>
      </w:tr>
      <w:tr w:rsidR="001C190E" w14:paraId="7B75E087" w14:textId="77777777" w:rsidTr="00F3021D">
        <w:tc>
          <w:tcPr>
            <w:tcW w:w="707" w:type="dxa"/>
            <w:tcBorders>
              <w:top w:val="single" w:sz="6" w:space="0" w:color="auto"/>
              <w:bottom w:val="single" w:sz="6" w:space="0" w:color="auto"/>
            </w:tcBorders>
            <w:shd w:val="clear" w:color="auto" w:fill="auto"/>
          </w:tcPr>
          <w:p w14:paraId="1AC44000" w14:textId="77777777" w:rsidR="00EA4725" w:rsidRPr="00441372" w:rsidRDefault="005760A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5D80648" w14:textId="732E9D00" w:rsidR="00EA4725" w:rsidRPr="00441372" w:rsidRDefault="005760A5"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Food additive </w:t>
            </w:r>
            <w:r w:rsidR="003649FD">
              <w:t>D</w:t>
            </w:r>
            <w:r w:rsidRPr="0065690F">
              <w:t>ibutyl hydroxytoluene (BHT)</w:t>
            </w:r>
          </w:p>
        </w:tc>
      </w:tr>
      <w:tr w:rsidR="001C190E" w14:paraId="7FADC742" w14:textId="77777777" w:rsidTr="00F3021D">
        <w:tc>
          <w:tcPr>
            <w:tcW w:w="707" w:type="dxa"/>
            <w:tcBorders>
              <w:top w:val="single" w:sz="6" w:space="0" w:color="auto"/>
              <w:bottom w:val="single" w:sz="6" w:space="0" w:color="auto"/>
            </w:tcBorders>
            <w:shd w:val="clear" w:color="auto" w:fill="auto"/>
          </w:tcPr>
          <w:p w14:paraId="74339C4B" w14:textId="77777777" w:rsidR="00EA4725" w:rsidRPr="00441372" w:rsidRDefault="005760A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AFFCFD2" w14:textId="77777777" w:rsidR="00EA4725" w:rsidRPr="00441372" w:rsidRDefault="005760A5" w:rsidP="00441372">
            <w:pPr>
              <w:spacing w:before="120" w:after="120"/>
              <w:rPr>
                <w:b/>
                <w:bCs/>
              </w:rPr>
            </w:pPr>
            <w:r w:rsidRPr="00441372">
              <w:rPr>
                <w:b/>
              </w:rPr>
              <w:t>Regions or countries likely to be affected, to the extent relevant or practicable</w:t>
            </w:r>
            <w:r w:rsidRPr="00441372">
              <w:rPr>
                <w:b/>
                <w:bCs/>
              </w:rPr>
              <w:t>:</w:t>
            </w:r>
          </w:p>
          <w:p w14:paraId="42D49EC1" w14:textId="77777777" w:rsidR="00EA4725" w:rsidRPr="00441372" w:rsidRDefault="005760A5" w:rsidP="00441372">
            <w:pPr>
              <w:spacing w:after="120"/>
              <w:ind w:left="607" w:hanging="607"/>
              <w:rPr>
                <w:b/>
              </w:rPr>
            </w:pPr>
            <w:r w:rsidRPr="00441372">
              <w:rPr>
                <w:b/>
              </w:rPr>
              <w:t>[X]</w:t>
            </w:r>
            <w:r w:rsidRPr="00441372">
              <w:rPr>
                <w:b/>
              </w:rPr>
              <w:tab/>
              <w:t>All trading partners</w:t>
            </w:r>
            <w:r w:rsidRPr="0065690F">
              <w:t xml:space="preserve"> </w:t>
            </w:r>
          </w:p>
          <w:p w14:paraId="71DB2881" w14:textId="77777777" w:rsidR="00EA4725" w:rsidRPr="00441372" w:rsidRDefault="005760A5"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1C190E" w14:paraId="79493A16" w14:textId="77777777" w:rsidTr="00F3021D">
        <w:tc>
          <w:tcPr>
            <w:tcW w:w="707" w:type="dxa"/>
            <w:tcBorders>
              <w:top w:val="single" w:sz="6" w:space="0" w:color="auto"/>
              <w:bottom w:val="single" w:sz="6" w:space="0" w:color="auto"/>
            </w:tcBorders>
            <w:shd w:val="clear" w:color="auto" w:fill="auto"/>
          </w:tcPr>
          <w:p w14:paraId="48C22C7B" w14:textId="77777777" w:rsidR="00EA4725" w:rsidRPr="00441372" w:rsidRDefault="005760A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C314E1D" w14:textId="77777777" w:rsidR="00EA4725" w:rsidRPr="00441372" w:rsidRDefault="005760A5" w:rsidP="00441372">
            <w:pPr>
              <w:spacing w:before="120" w:after="120"/>
            </w:pPr>
            <w:r w:rsidRPr="00441372">
              <w:rPr>
                <w:b/>
              </w:rPr>
              <w:t>Title of the notified document:</w:t>
            </w:r>
            <w:r w:rsidRPr="0065690F">
              <w:t xml:space="preserve"> National Food Safety Standard of the P.R.C.: Food additive Dibutyl hydroxytoluene (BHT)</w:t>
            </w:r>
            <w:r w:rsidR="007E510C" w:rsidRPr="00441372">
              <w:t>.</w:t>
            </w:r>
            <w:r w:rsidRPr="00441372">
              <w:rPr>
                <w:b/>
              </w:rPr>
              <w:t xml:space="preserve"> Language(s):</w:t>
            </w:r>
            <w:r w:rsidRPr="0065690F">
              <w:t xml:space="preserve"> Chinese</w:t>
            </w:r>
            <w:r w:rsidR="007E510C" w:rsidRPr="00441372">
              <w:rPr>
                <w:bCs/>
              </w:rPr>
              <w:t>.</w:t>
            </w:r>
            <w:r w:rsidRPr="00441372">
              <w:t xml:space="preserve"> </w:t>
            </w:r>
            <w:r w:rsidRPr="00441372">
              <w:rPr>
                <w:b/>
              </w:rPr>
              <w:t>Number of pages:</w:t>
            </w:r>
            <w:r w:rsidRPr="0065690F">
              <w:t xml:space="preserve"> 8</w:t>
            </w:r>
          </w:p>
          <w:p w14:paraId="6A8E89CC" w14:textId="77777777" w:rsidR="00EA4725" w:rsidRPr="00441372" w:rsidRDefault="00574F7B" w:rsidP="00441372">
            <w:pPr>
              <w:spacing w:after="120"/>
            </w:pPr>
            <w:hyperlink r:id="rId8" w:tgtFrame="_blank" w:history="1">
              <w:r w:rsidR="00BF2788" w:rsidRPr="00441372">
                <w:rPr>
                  <w:color w:val="0000FF"/>
                  <w:u w:val="single"/>
                </w:rPr>
                <w:t>https://members.wto.org/crnattachments/2024/SPS/CHN/24_04504_00_x.pdf</w:t>
              </w:r>
            </w:hyperlink>
          </w:p>
        </w:tc>
      </w:tr>
      <w:tr w:rsidR="001C190E" w14:paraId="31804116" w14:textId="77777777" w:rsidTr="00F3021D">
        <w:tc>
          <w:tcPr>
            <w:tcW w:w="707" w:type="dxa"/>
            <w:tcBorders>
              <w:top w:val="single" w:sz="6" w:space="0" w:color="auto"/>
              <w:bottom w:val="single" w:sz="6" w:space="0" w:color="auto"/>
            </w:tcBorders>
            <w:shd w:val="clear" w:color="auto" w:fill="auto"/>
          </w:tcPr>
          <w:p w14:paraId="09465C2D" w14:textId="77777777" w:rsidR="00EA4725" w:rsidRPr="00441372" w:rsidRDefault="005760A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B4AD953" w14:textId="3B3788AD" w:rsidR="00EA4725" w:rsidRPr="00441372" w:rsidRDefault="005760A5" w:rsidP="00441372">
            <w:pPr>
              <w:spacing w:before="120" w:after="120"/>
            </w:pPr>
            <w:r w:rsidRPr="00441372">
              <w:rPr>
                <w:b/>
              </w:rPr>
              <w:t>Description of content:</w:t>
            </w:r>
            <w:r w:rsidRPr="0065690F">
              <w:t xml:space="preserve"> This standard is applicable to dibutyl hydroxytoluene (BHT), a</w:t>
            </w:r>
            <w:r>
              <w:t> </w:t>
            </w:r>
            <w:r w:rsidRPr="0065690F">
              <w:t xml:space="preserve">food additive prepared by distillation and recrystallization of the product of alkylation reaction with </w:t>
            </w:r>
            <w:r w:rsidRPr="0065690F">
              <w:rPr>
                <w:i/>
                <w:iCs/>
              </w:rPr>
              <w:t>p</w:t>
            </w:r>
            <w:r w:rsidRPr="0065690F">
              <w:t>-cresol and isobutylene as raw materials under acidic catalyst.</w:t>
            </w:r>
          </w:p>
        </w:tc>
      </w:tr>
      <w:tr w:rsidR="001C190E" w14:paraId="126DA69B" w14:textId="77777777" w:rsidTr="00F3021D">
        <w:tc>
          <w:tcPr>
            <w:tcW w:w="707" w:type="dxa"/>
            <w:tcBorders>
              <w:top w:val="single" w:sz="6" w:space="0" w:color="auto"/>
              <w:bottom w:val="single" w:sz="6" w:space="0" w:color="auto"/>
            </w:tcBorders>
            <w:shd w:val="clear" w:color="auto" w:fill="auto"/>
          </w:tcPr>
          <w:p w14:paraId="204DAD41" w14:textId="77777777" w:rsidR="00EA4725" w:rsidRPr="00441372" w:rsidRDefault="005760A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EFC5C4C" w14:textId="77777777" w:rsidR="00EA4725" w:rsidRPr="00441372" w:rsidRDefault="005760A5" w:rsidP="00441372">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rsidR="001C190E" w14:paraId="554E25D6" w14:textId="77777777" w:rsidTr="00F3021D">
        <w:tc>
          <w:tcPr>
            <w:tcW w:w="707" w:type="dxa"/>
            <w:tcBorders>
              <w:top w:val="single" w:sz="6" w:space="0" w:color="auto"/>
              <w:bottom w:val="single" w:sz="6" w:space="0" w:color="auto"/>
            </w:tcBorders>
            <w:shd w:val="clear" w:color="auto" w:fill="auto"/>
          </w:tcPr>
          <w:p w14:paraId="139D375E" w14:textId="77777777" w:rsidR="00EA4725" w:rsidRPr="00441372" w:rsidRDefault="005760A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161C753" w14:textId="77777777" w:rsidR="00EA4725" w:rsidRPr="00441372" w:rsidRDefault="005760A5" w:rsidP="003649FD">
            <w:pPr>
              <w:spacing w:before="120" w:after="80"/>
            </w:pPr>
            <w:r w:rsidRPr="00441372">
              <w:rPr>
                <w:b/>
              </w:rPr>
              <w:t>Is there a relevant international standard? If so, identify the standard:</w:t>
            </w:r>
          </w:p>
          <w:p w14:paraId="6F287B23" w14:textId="52DF0BAE" w:rsidR="00EA4725" w:rsidRPr="00441372" w:rsidRDefault="005760A5" w:rsidP="003649FD">
            <w:pPr>
              <w:spacing w:after="80"/>
              <w:ind w:left="720" w:hanging="720"/>
            </w:pPr>
            <w:r w:rsidRPr="00441372">
              <w:rPr>
                <w:b/>
              </w:rPr>
              <w:t>[X]</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Butylated Hydroxytoluene, formulated at the 30</w:t>
            </w:r>
            <w:r w:rsidRPr="00BF2788">
              <w:rPr>
                <w:vertAlign w:val="superscript"/>
              </w:rPr>
              <w:t>th</w:t>
            </w:r>
            <w:r>
              <w:t> </w:t>
            </w:r>
            <w:r w:rsidRPr="0065690F">
              <w:t>JECFA (1986), published in FNP 37 (1986), revised at the 37</w:t>
            </w:r>
            <w:r w:rsidRPr="00BF2788">
              <w:rPr>
                <w:vertAlign w:val="superscript"/>
              </w:rPr>
              <w:t>th</w:t>
            </w:r>
            <w:r>
              <w:t xml:space="preserve"> </w:t>
            </w:r>
            <w:r w:rsidRPr="0065690F">
              <w:t>JECFA (1990) and republished in FNP 52 (1992).</w:t>
            </w:r>
          </w:p>
          <w:p w14:paraId="7F08F28F" w14:textId="77777777" w:rsidR="00EA4725" w:rsidRPr="00441372" w:rsidRDefault="005760A5" w:rsidP="003649FD">
            <w:pPr>
              <w:spacing w:after="8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154E5A1A" w14:textId="77777777" w:rsidR="00EA4725" w:rsidRPr="00441372" w:rsidRDefault="005760A5" w:rsidP="003649FD">
            <w:pPr>
              <w:spacing w:after="80"/>
              <w:ind w:left="720" w:hanging="720"/>
              <w:rPr>
                <w:b/>
              </w:rPr>
            </w:pPr>
            <w:r w:rsidRPr="00441372">
              <w:rPr>
                <w:b/>
              </w:rPr>
              <w:t>[ ]</w:t>
            </w:r>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79E35E8D" w14:textId="77777777" w:rsidR="00EA4725" w:rsidRPr="00441372" w:rsidRDefault="005760A5" w:rsidP="003649FD">
            <w:pPr>
              <w:spacing w:after="80"/>
              <w:ind w:left="720" w:hanging="720"/>
              <w:rPr>
                <w:b/>
              </w:rPr>
            </w:pPr>
            <w:r w:rsidRPr="00441372">
              <w:rPr>
                <w:b/>
              </w:rPr>
              <w:t>[ ]</w:t>
            </w:r>
            <w:r w:rsidRPr="00441372">
              <w:rPr>
                <w:b/>
              </w:rPr>
              <w:tab/>
              <w:t>None</w:t>
            </w:r>
          </w:p>
          <w:p w14:paraId="22AF2F86" w14:textId="77777777" w:rsidR="00EA4725" w:rsidRPr="00441372" w:rsidRDefault="005760A5" w:rsidP="003649FD">
            <w:pPr>
              <w:spacing w:after="80"/>
              <w:rPr>
                <w:b/>
              </w:rPr>
            </w:pPr>
            <w:r w:rsidRPr="00441372">
              <w:rPr>
                <w:b/>
              </w:rPr>
              <w:t xml:space="preserve">Does this proposed regulation conform to the relevant international standard? </w:t>
            </w:r>
          </w:p>
          <w:p w14:paraId="35BEFB87" w14:textId="77777777" w:rsidR="00EA4725" w:rsidRPr="00441372" w:rsidRDefault="005760A5" w:rsidP="003649FD">
            <w:pPr>
              <w:spacing w:after="80"/>
              <w:rPr>
                <w:b/>
              </w:rPr>
            </w:pPr>
            <w:r w:rsidRPr="00441372">
              <w:rPr>
                <w:b/>
              </w:rPr>
              <w:t>[ ] Yes   [X] No</w:t>
            </w:r>
          </w:p>
          <w:p w14:paraId="1B14B3D9" w14:textId="77777777" w:rsidR="003649FD" w:rsidRDefault="005760A5" w:rsidP="003649FD">
            <w:pPr>
              <w:spacing w:after="80"/>
            </w:pPr>
            <w:r w:rsidRPr="00441372">
              <w:rPr>
                <w:b/>
              </w:rPr>
              <w:t>If no, describe, whenever possible, how and why it deviates from the international standard:</w:t>
            </w:r>
            <w:r w:rsidRPr="0065690F">
              <w:t xml:space="preserve"> </w:t>
            </w:r>
          </w:p>
          <w:p w14:paraId="7AC42755" w14:textId="3185568D" w:rsidR="00EA4725" w:rsidRPr="00441372" w:rsidRDefault="005760A5" w:rsidP="003649FD">
            <w:pPr>
              <w:numPr>
                <w:ilvl w:val="0"/>
                <w:numId w:val="16"/>
              </w:numPr>
              <w:ind w:left="386"/>
            </w:pPr>
            <w:r w:rsidRPr="0065690F">
              <w:t>The main content index in this standard is stricter than that in JECFA, which is obtained according to the accumulated quality data</w:t>
            </w:r>
            <w:r w:rsidR="003649FD">
              <w:t>;</w:t>
            </w:r>
          </w:p>
          <w:p w14:paraId="5225D80C" w14:textId="7C202045" w:rsidR="00383D1A" w:rsidRPr="0065690F" w:rsidRDefault="005760A5" w:rsidP="003649FD">
            <w:pPr>
              <w:numPr>
                <w:ilvl w:val="0"/>
                <w:numId w:val="16"/>
              </w:numPr>
              <w:spacing w:after="120"/>
              <w:ind w:left="385" w:hanging="357"/>
            </w:pPr>
            <w:r w:rsidRPr="0065690F">
              <w:t>The melting range index in JECFA is used for qualitative analysis, and the melting range index in this standard which is obtained according to the accumulated quality data can be used as quantitative index instead of the freezing point index in JECFA</w:t>
            </w:r>
            <w:r w:rsidR="003649FD">
              <w:t>;</w:t>
            </w:r>
          </w:p>
          <w:p w14:paraId="10DE1B0E" w14:textId="7304E9E3" w:rsidR="00383D1A" w:rsidRPr="0065690F" w:rsidRDefault="005760A5" w:rsidP="003649FD">
            <w:pPr>
              <w:numPr>
                <w:ilvl w:val="0"/>
                <w:numId w:val="16"/>
              </w:numPr>
              <w:spacing w:before="240"/>
              <w:ind w:left="385" w:hanging="357"/>
            </w:pPr>
            <w:r w:rsidRPr="0065690F">
              <w:lastRenderedPageBreak/>
              <w:t>Following the original standard, arsenic content index was set to ensure the quality and safety of food additives, which is not set by JECFA, but set by JSFA 9 and KR Food Additives Code (2019)</w:t>
            </w:r>
            <w:r w:rsidR="003649FD">
              <w:t>;</w:t>
            </w:r>
          </w:p>
          <w:p w14:paraId="33C0A1A2" w14:textId="39DB6C14" w:rsidR="00383D1A" w:rsidRPr="0065690F" w:rsidRDefault="005760A5" w:rsidP="003649FD">
            <w:pPr>
              <w:numPr>
                <w:ilvl w:val="0"/>
                <w:numId w:val="16"/>
              </w:numPr>
              <w:ind w:left="386"/>
            </w:pPr>
            <w:r w:rsidRPr="0065690F">
              <w:t>Following the original standard, the moisture index was set to ensure the quality and safety of food additive products, which is not set by JECFA</w:t>
            </w:r>
            <w:r w:rsidR="003649FD">
              <w:t>;</w:t>
            </w:r>
          </w:p>
          <w:p w14:paraId="00058A83" w14:textId="48D32C94" w:rsidR="00383D1A" w:rsidRPr="0065690F" w:rsidRDefault="005760A5" w:rsidP="003649FD">
            <w:pPr>
              <w:numPr>
                <w:ilvl w:val="0"/>
                <w:numId w:val="16"/>
              </w:numPr>
              <w:ind w:left="386"/>
            </w:pPr>
            <w:r w:rsidRPr="0065690F">
              <w:t>Following the original standard, sulphate sub-index was set to ensure the quality and safety of food additives, which is not set by JECFA, but set by JSFA 9 and KR Food Additives Code (2019)</w:t>
            </w:r>
            <w:r w:rsidR="003649FD">
              <w:t>;</w:t>
            </w:r>
          </w:p>
          <w:p w14:paraId="6F9F8214" w14:textId="3074D633" w:rsidR="00383D1A" w:rsidRPr="0065690F" w:rsidRDefault="005760A5" w:rsidP="003649FD">
            <w:pPr>
              <w:numPr>
                <w:ilvl w:val="0"/>
                <w:numId w:val="16"/>
              </w:numPr>
              <w:spacing w:after="120"/>
              <w:ind w:left="386"/>
            </w:pPr>
            <w:r w:rsidRPr="0065690F">
              <w:t>The index of "phenolic impurities ≤0.5" in JECFA determined by TLC and limit method. Following the original standard, the index of "free phenol (calculated by p-cresol)" in this standard measured by titration method, which can be accurately quantified.</w:t>
            </w:r>
          </w:p>
        </w:tc>
      </w:tr>
      <w:tr w:rsidR="001C190E" w14:paraId="6C4A8B97" w14:textId="77777777" w:rsidTr="00F3021D">
        <w:tc>
          <w:tcPr>
            <w:tcW w:w="707" w:type="dxa"/>
            <w:tcBorders>
              <w:top w:val="single" w:sz="6" w:space="0" w:color="auto"/>
              <w:bottom w:val="single" w:sz="6" w:space="0" w:color="auto"/>
            </w:tcBorders>
            <w:shd w:val="clear" w:color="auto" w:fill="auto"/>
          </w:tcPr>
          <w:p w14:paraId="320E7203" w14:textId="77777777" w:rsidR="00EA4725" w:rsidRPr="00441372" w:rsidRDefault="005760A5"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F38ACD0" w14:textId="77777777" w:rsidR="00EA4725" w:rsidRPr="00441372" w:rsidRDefault="005760A5" w:rsidP="00441372">
            <w:pPr>
              <w:spacing w:before="120" w:after="120"/>
            </w:pPr>
            <w:r w:rsidRPr="00441372">
              <w:rPr>
                <w:b/>
              </w:rPr>
              <w:t>Other relevant documents and language(s) in which these are available:</w:t>
            </w:r>
            <w:r w:rsidRPr="0065690F">
              <w:t xml:space="preserve"> </w:t>
            </w:r>
            <w:r w:rsidRPr="0065690F">
              <w:rPr>
                <w:bCs/>
              </w:rPr>
              <w:t xml:space="preserve"> </w:t>
            </w:r>
          </w:p>
        </w:tc>
      </w:tr>
      <w:tr w:rsidR="001C190E" w14:paraId="029DA011" w14:textId="77777777" w:rsidTr="00F3021D">
        <w:tc>
          <w:tcPr>
            <w:tcW w:w="707" w:type="dxa"/>
            <w:tcBorders>
              <w:top w:val="single" w:sz="6" w:space="0" w:color="auto"/>
              <w:bottom w:val="single" w:sz="6" w:space="0" w:color="auto"/>
            </w:tcBorders>
            <w:shd w:val="clear" w:color="auto" w:fill="auto"/>
          </w:tcPr>
          <w:p w14:paraId="02DA0C95" w14:textId="77777777" w:rsidR="00EA4725" w:rsidRPr="00441372" w:rsidRDefault="005760A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22152D3" w14:textId="77777777" w:rsidR="00EA4725" w:rsidRPr="00441372" w:rsidRDefault="005760A5" w:rsidP="00441372">
            <w:pPr>
              <w:spacing w:before="120" w:after="120"/>
            </w:pPr>
            <w:r w:rsidRPr="00441372">
              <w:rPr>
                <w:b/>
              </w:rPr>
              <w:t xml:space="preserve">Proposed date of adoption </w:t>
            </w:r>
            <w:r w:rsidRPr="00441372">
              <w:rPr>
                <w:b/>
                <w:i/>
              </w:rPr>
              <w:t>(dd/mm/yy)</w:t>
            </w:r>
            <w:r w:rsidRPr="00441372">
              <w:rPr>
                <w:b/>
              </w:rPr>
              <w:t>:</w:t>
            </w:r>
            <w:r w:rsidRPr="0065690F">
              <w:t xml:space="preserve"> To be determined.</w:t>
            </w:r>
          </w:p>
          <w:p w14:paraId="53731FF3" w14:textId="77777777" w:rsidR="00EA4725" w:rsidRPr="00441372" w:rsidRDefault="005760A5" w:rsidP="00441372">
            <w:pPr>
              <w:spacing w:after="120"/>
            </w:pPr>
            <w:r w:rsidRPr="00441372">
              <w:rPr>
                <w:b/>
              </w:rPr>
              <w:t xml:space="preserve">Proposed date of publication </w:t>
            </w:r>
            <w:r w:rsidRPr="00441372">
              <w:rPr>
                <w:b/>
                <w:i/>
              </w:rPr>
              <w:t>(dd/mm/yy)</w:t>
            </w:r>
            <w:r w:rsidRPr="00441372">
              <w:rPr>
                <w:b/>
              </w:rPr>
              <w:t>:</w:t>
            </w:r>
            <w:r w:rsidRPr="0065690F">
              <w:t xml:space="preserve"> To be determined.</w:t>
            </w:r>
          </w:p>
        </w:tc>
      </w:tr>
      <w:tr w:rsidR="001C190E" w14:paraId="20B1D1BD" w14:textId="77777777" w:rsidTr="00F3021D">
        <w:tc>
          <w:tcPr>
            <w:tcW w:w="707" w:type="dxa"/>
            <w:tcBorders>
              <w:top w:val="single" w:sz="6" w:space="0" w:color="auto"/>
              <w:bottom w:val="single" w:sz="6" w:space="0" w:color="auto"/>
            </w:tcBorders>
            <w:shd w:val="clear" w:color="auto" w:fill="auto"/>
          </w:tcPr>
          <w:p w14:paraId="7412627F" w14:textId="77777777" w:rsidR="00EA4725" w:rsidRPr="00441372" w:rsidRDefault="005760A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059966F" w14:textId="77777777" w:rsidR="00EA4725" w:rsidRPr="00441372" w:rsidRDefault="005760A5"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To be determined.</w:t>
            </w:r>
          </w:p>
          <w:p w14:paraId="07ECC0EC" w14:textId="77777777" w:rsidR="00EA4725" w:rsidRPr="00441372" w:rsidRDefault="005760A5" w:rsidP="00441372">
            <w:pPr>
              <w:spacing w:after="120"/>
              <w:ind w:left="607" w:hanging="607"/>
              <w:rPr>
                <w:b/>
              </w:rPr>
            </w:pPr>
            <w:r w:rsidRPr="00441372">
              <w:rPr>
                <w:b/>
              </w:rPr>
              <w:t>[ ]</w:t>
            </w:r>
            <w:r w:rsidRPr="00441372">
              <w:rPr>
                <w:b/>
              </w:rPr>
              <w:tab/>
              <w:t>Trade facilitating measure</w:t>
            </w:r>
            <w:r w:rsidRPr="0065690F">
              <w:t xml:space="preserve"> </w:t>
            </w:r>
          </w:p>
        </w:tc>
      </w:tr>
      <w:tr w:rsidR="001C190E" w14:paraId="69A71563" w14:textId="77777777" w:rsidTr="00F3021D">
        <w:tc>
          <w:tcPr>
            <w:tcW w:w="707" w:type="dxa"/>
            <w:tcBorders>
              <w:top w:val="single" w:sz="6" w:space="0" w:color="auto"/>
              <w:bottom w:val="single" w:sz="6" w:space="0" w:color="auto"/>
            </w:tcBorders>
            <w:shd w:val="clear" w:color="auto" w:fill="auto"/>
          </w:tcPr>
          <w:p w14:paraId="60C803C2" w14:textId="77777777" w:rsidR="00EA4725" w:rsidRPr="00441372" w:rsidRDefault="005760A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4451EB3" w14:textId="77777777" w:rsidR="00EA4725" w:rsidRPr="00441372" w:rsidRDefault="005760A5" w:rsidP="00441372">
            <w:pPr>
              <w:spacing w:before="120" w:after="120"/>
            </w:pPr>
            <w:r w:rsidRPr="00441372">
              <w:rPr>
                <w:b/>
              </w:rPr>
              <w:t xml:space="preserve">Final date for comments: [X] Sixty days from the date of circulation of the notification and/or </w:t>
            </w:r>
            <w:r w:rsidRPr="00441372">
              <w:rPr>
                <w:b/>
                <w:i/>
              </w:rPr>
              <w:t>(dd/mm/yy)</w:t>
            </w:r>
            <w:r w:rsidRPr="00441372">
              <w:rPr>
                <w:b/>
              </w:rPr>
              <w:t>:</w:t>
            </w:r>
            <w:r w:rsidRPr="0065690F">
              <w:t xml:space="preserve"> 9 September 2024</w:t>
            </w:r>
          </w:p>
          <w:p w14:paraId="1AB7ACDE" w14:textId="77777777" w:rsidR="00EA4725" w:rsidRPr="00441372" w:rsidRDefault="005760A5" w:rsidP="00441372">
            <w:pPr>
              <w:spacing w:after="120"/>
            </w:pPr>
            <w:r w:rsidRPr="00441372">
              <w:rPr>
                <w:b/>
              </w:rPr>
              <w:t>Agency or authority designated to handle comments: [ ] National Notification Authority, [X] National Enquiry Point. Address, fax number and e-mail address (if available) of other body:</w:t>
            </w:r>
            <w:r w:rsidRPr="0065690F">
              <w:t xml:space="preserve"> </w:t>
            </w:r>
          </w:p>
          <w:p w14:paraId="136F9399" w14:textId="77777777" w:rsidR="00383D1A" w:rsidRPr="0065690F" w:rsidRDefault="005760A5" w:rsidP="00441372">
            <w:r w:rsidRPr="0065690F">
              <w:t>WTO/SPS National Notification and Enquiry Center of the People's Republic of China</w:t>
            </w:r>
          </w:p>
          <w:p w14:paraId="3A7E0AFB" w14:textId="77777777" w:rsidR="00383D1A" w:rsidRPr="0065690F" w:rsidRDefault="005760A5" w:rsidP="00441372">
            <w:r w:rsidRPr="0065690F">
              <w:t>Tel: +(86 10) 5795 4645/5795 4642</w:t>
            </w:r>
          </w:p>
          <w:p w14:paraId="10781415" w14:textId="77777777" w:rsidR="00383D1A" w:rsidRPr="0065690F" w:rsidRDefault="005760A5" w:rsidP="00441372">
            <w:pPr>
              <w:spacing w:after="120"/>
            </w:pPr>
            <w:r w:rsidRPr="0065690F">
              <w:t xml:space="preserve">E-mail: </w:t>
            </w:r>
            <w:hyperlink r:id="rId9" w:history="1">
              <w:r w:rsidRPr="0065690F">
                <w:rPr>
                  <w:color w:val="0000FF"/>
                  <w:u w:val="single"/>
                </w:rPr>
                <w:t>sps@customs.gov.cn</w:t>
              </w:r>
            </w:hyperlink>
          </w:p>
        </w:tc>
      </w:tr>
      <w:tr w:rsidR="001C190E" w14:paraId="62787FF9" w14:textId="77777777" w:rsidTr="00F3021D">
        <w:tc>
          <w:tcPr>
            <w:tcW w:w="707" w:type="dxa"/>
            <w:tcBorders>
              <w:top w:val="single" w:sz="6" w:space="0" w:color="auto"/>
            </w:tcBorders>
            <w:shd w:val="clear" w:color="auto" w:fill="auto"/>
          </w:tcPr>
          <w:p w14:paraId="49EC53CD" w14:textId="77777777" w:rsidR="00EA4725" w:rsidRPr="00441372" w:rsidRDefault="005760A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A57BB57" w14:textId="77777777" w:rsidR="00EA4725" w:rsidRPr="00441372" w:rsidRDefault="005760A5" w:rsidP="00F3021D">
            <w:pPr>
              <w:keepNext/>
              <w:keepLines/>
              <w:spacing w:before="120" w:after="120"/>
              <w:rPr>
                <w:b/>
              </w:rPr>
            </w:pPr>
            <w:r w:rsidRPr="00441372">
              <w:rPr>
                <w:b/>
              </w:rPr>
              <w:t>Text(s) available from: [ ] National Notification Authority, [X] National Enquiry Point. Address, fax number and e-mail address (if available) of other body:</w:t>
            </w:r>
            <w:r w:rsidRPr="0065690F">
              <w:rPr>
                <w:bCs/>
              </w:rPr>
              <w:t xml:space="preserve"> </w:t>
            </w:r>
          </w:p>
          <w:p w14:paraId="62BAA03E" w14:textId="77777777" w:rsidR="00EA4725" w:rsidRPr="0065690F" w:rsidRDefault="005760A5" w:rsidP="00F3021D">
            <w:pPr>
              <w:keepNext/>
              <w:keepLines/>
              <w:rPr>
                <w:bCs/>
              </w:rPr>
            </w:pPr>
            <w:r w:rsidRPr="0065690F">
              <w:rPr>
                <w:bCs/>
              </w:rPr>
              <w:t>WTO/SPS National Notification and Enquiry Center of the People's Republic of China</w:t>
            </w:r>
          </w:p>
          <w:p w14:paraId="2CA247BC" w14:textId="77777777" w:rsidR="00EA4725" w:rsidRPr="0065690F" w:rsidRDefault="005760A5" w:rsidP="00F3021D">
            <w:pPr>
              <w:keepNext/>
              <w:keepLines/>
              <w:rPr>
                <w:bCs/>
              </w:rPr>
            </w:pPr>
            <w:r w:rsidRPr="0065690F">
              <w:rPr>
                <w:bCs/>
              </w:rPr>
              <w:t>Tel: +(86 10) 5795 4645/5795 4642</w:t>
            </w:r>
          </w:p>
          <w:p w14:paraId="68A6CFA3" w14:textId="77777777" w:rsidR="00EA4725" w:rsidRPr="0065690F" w:rsidRDefault="005760A5" w:rsidP="00F3021D">
            <w:pPr>
              <w:keepNext/>
              <w:keepLines/>
              <w:spacing w:after="120"/>
              <w:rPr>
                <w:bCs/>
              </w:rPr>
            </w:pPr>
            <w:r w:rsidRPr="0065690F">
              <w:rPr>
                <w:bCs/>
              </w:rPr>
              <w:t xml:space="preserve">E-mail: </w:t>
            </w:r>
            <w:hyperlink r:id="rId10" w:history="1">
              <w:r w:rsidRPr="0065690F">
                <w:rPr>
                  <w:bCs/>
                  <w:color w:val="0000FF"/>
                  <w:u w:val="single"/>
                </w:rPr>
                <w:t>sps@customs.gov.cn</w:t>
              </w:r>
            </w:hyperlink>
          </w:p>
        </w:tc>
      </w:tr>
    </w:tbl>
    <w:p w14:paraId="43D2528B" w14:textId="77777777" w:rsidR="007141CF" w:rsidRPr="00441372" w:rsidRDefault="007141CF" w:rsidP="00441372"/>
    <w:sectPr w:rsidR="007141CF" w:rsidRPr="00441372" w:rsidSect="00BF2788">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9BECB" w14:textId="77777777" w:rsidR="005760A5" w:rsidRDefault="005760A5">
      <w:r>
        <w:separator/>
      </w:r>
    </w:p>
  </w:endnote>
  <w:endnote w:type="continuationSeparator" w:id="0">
    <w:p w14:paraId="5E16B348" w14:textId="77777777" w:rsidR="005760A5" w:rsidRDefault="00576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CD08" w14:textId="6AE36B6A" w:rsidR="00EA4725" w:rsidRPr="00BF2788" w:rsidRDefault="005760A5" w:rsidP="00BF278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D84E7" w14:textId="7778460A" w:rsidR="00EA4725" w:rsidRPr="00BF2788" w:rsidRDefault="005760A5" w:rsidP="00BF278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89BF7" w14:textId="77777777" w:rsidR="00C863EB" w:rsidRPr="00441372" w:rsidRDefault="005760A5"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6E012" w14:textId="77777777" w:rsidR="005760A5" w:rsidRDefault="005760A5">
      <w:r>
        <w:separator/>
      </w:r>
    </w:p>
  </w:footnote>
  <w:footnote w:type="continuationSeparator" w:id="0">
    <w:p w14:paraId="5AAA2A28" w14:textId="77777777" w:rsidR="005760A5" w:rsidRDefault="00576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BAE2A" w14:textId="77777777" w:rsidR="00BF2788" w:rsidRPr="00BF2788" w:rsidRDefault="005760A5" w:rsidP="00BF2788">
    <w:pPr>
      <w:pStyle w:val="Header"/>
      <w:pBdr>
        <w:bottom w:val="single" w:sz="4" w:space="1" w:color="auto"/>
      </w:pBdr>
      <w:tabs>
        <w:tab w:val="clear" w:pos="4513"/>
        <w:tab w:val="clear" w:pos="9027"/>
      </w:tabs>
      <w:jc w:val="center"/>
    </w:pPr>
    <w:r w:rsidRPr="00BF2788">
      <w:t>G/SPS/N/CHN/1306</w:t>
    </w:r>
  </w:p>
  <w:p w14:paraId="1EF53717" w14:textId="77777777" w:rsidR="00BF2788" w:rsidRPr="00BF2788" w:rsidRDefault="00BF2788" w:rsidP="00BF2788">
    <w:pPr>
      <w:pStyle w:val="Header"/>
      <w:pBdr>
        <w:bottom w:val="single" w:sz="4" w:space="1" w:color="auto"/>
      </w:pBdr>
      <w:tabs>
        <w:tab w:val="clear" w:pos="4513"/>
        <w:tab w:val="clear" w:pos="9027"/>
      </w:tabs>
      <w:jc w:val="center"/>
    </w:pPr>
  </w:p>
  <w:p w14:paraId="00237CCD" w14:textId="5175601E" w:rsidR="00BF2788" w:rsidRPr="00BF2788" w:rsidRDefault="005760A5" w:rsidP="00BF2788">
    <w:pPr>
      <w:pStyle w:val="Header"/>
      <w:pBdr>
        <w:bottom w:val="single" w:sz="4" w:space="1" w:color="auto"/>
      </w:pBdr>
      <w:tabs>
        <w:tab w:val="clear" w:pos="4513"/>
        <w:tab w:val="clear" w:pos="9027"/>
      </w:tabs>
      <w:jc w:val="center"/>
    </w:pPr>
    <w:r w:rsidRPr="00BF2788">
      <w:t xml:space="preserve">- </w:t>
    </w:r>
    <w:r w:rsidRPr="00BF2788">
      <w:fldChar w:fldCharType="begin"/>
    </w:r>
    <w:r w:rsidRPr="00BF2788">
      <w:instrText xml:space="preserve"> PAGE </w:instrText>
    </w:r>
    <w:r w:rsidRPr="00BF2788">
      <w:fldChar w:fldCharType="separate"/>
    </w:r>
    <w:r w:rsidRPr="00BF2788">
      <w:rPr>
        <w:noProof/>
      </w:rPr>
      <w:t>2</w:t>
    </w:r>
    <w:r w:rsidRPr="00BF2788">
      <w:fldChar w:fldCharType="end"/>
    </w:r>
    <w:r w:rsidRPr="00BF2788">
      <w:t xml:space="preserve"> -</w:t>
    </w:r>
  </w:p>
  <w:p w14:paraId="5B12465A" w14:textId="244B8469" w:rsidR="00EA4725" w:rsidRPr="00BF2788" w:rsidRDefault="00EA4725" w:rsidP="00BF278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5461" w14:textId="77777777" w:rsidR="00BF2788" w:rsidRPr="00BF2788" w:rsidRDefault="005760A5" w:rsidP="00BF2788">
    <w:pPr>
      <w:pStyle w:val="Header"/>
      <w:pBdr>
        <w:bottom w:val="single" w:sz="4" w:space="1" w:color="auto"/>
      </w:pBdr>
      <w:tabs>
        <w:tab w:val="clear" w:pos="4513"/>
        <w:tab w:val="clear" w:pos="9027"/>
      </w:tabs>
      <w:jc w:val="center"/>
    </w:pPr>
    <w:r w:rsidRPr="00BF2788">
      <w:t>G/SPS/N/CHN/1306</w:t>
    </w:r>
  </w:p>
  <w:p w14:paraId="7E91392E" w14:textId="77777777" w:rsidR="00BF2788" w:rsidRPr="00BF2788" w:rsidRDefault="00BF2788" w:rsidP="00BF2788">
    <w:pPr>
      <w:pStyle w:val="Header"/>
      <w:pBdr>
        <w:bottom w:val="single" w:sz="4" w:space="1" w:color="auto"/>
      </w:pBdr>
      <w:tabs>
        <w:tab w:val="clear" w:pos="4513"/>
        <w:tab w:val="clear" w:pos="9027"/>
      </w:tabs>
      <w:jc w:val="center"/>
    </w:pPr>
  </w:p>
  <w:p w14:paraId="65B1D595" w14:textId="652CB10D" w:rsidR="00BF2788" w:rsidRPr="00BF2788" w:rsidRDefault="005760A5" w:rsidP="00BF2788">
    <w:pPr>
      <w:pStyle w:val="Header"/>
      <w:pBdr>
        <w:bottom w:val="single" w:sz="4" w:space="1" w:color="auto"/>
      </w:pBdr>
      <w:tabs>
        <w:tab w:val="clear" w:pos="4513"/>
        <w:tab w:val="clear" w:pos="9027"/>
      </w:tabs>
      <w:jc w:val="center"/>
    </w:pPr>
    <w:r w:rsidRPr="00BF2788">
      <w:t xml:space="preserve">- </w:t>
    </w:r>
    <w:r w:rsidRPr="00BF2788">
      <w:fldChar w:fldCharType="begin"/>
    </w:r>
    <w:r w:rsidRPr="00BF2788">
      <w:instrText xml:space="preserve"> PAGE </w:instrText>
    </w:r>
    <w:r w:rsidRPr="00BF2788">
      <w:fldChar w:fldCharType="separate"/>
    </w:r>
    <w:r w:rsidRPr="00BF2788">
      <w:rPr>
        <w:noProof/>
      </w:rPr>
      <w:t>2</w:t>
    </w:r>
    <w:r w:rsidRPr="00BF2788">
      <w:fldChar w:fldCharType="end"/>
    </w:r>
    <w:r w:rsidRPr="00BF2788">
      <w:t xml:space="preserve"> -</w:t>
    </w:r>
  </w:p>
  <w:p w14:paraId="3AAEB155" w14:textId="319CC156" w:rsidR="00EA4725" w:rsidRPr="00BF2788" w:rsidRDefault="00EA4725" w:rsidP="00BF278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C190E" w14:paraId="67E3B4C7" w14:textId="77777777" w:rsidTr="00EE3CAF">
      <w:trPr>
        <w:trHeight w:val="240"/>
        <w:jc w:val="center"/>
      </w:trPr>
      <w:tc>
        <w:tcPr>
          <w:tcW w:w="3794" w:type="dxa"/>
          <w:shd w:val="clear" w:color="auto" w:fill="FFFFFF"/>
          <w:tcMar>
            <w:left w:w="108" w:type="dxa"/>
            <w:right w:w="108" w:type="dxa"/>
          </w:tcMar>
          <w:vAlign w:val="center"/>
        </w:tcPr>
        <w:p w14:paraId="34682BF2"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1B6AB663" w14:textId="0C04D33F" w:rsidR="00ED54E0" w:rsidRPr="00EA4725" w:rsidRDefault="005760A5" w:rsidP="00422B6F">
          <w:pPr>
            <w:jc w:val="right"/>
            <w:rPr>
              <w:b/>
              <w:color w:val="FF0000"/>
              <w:szCs w:val="16"/>
            </w:rPr>
          </w:pPr>
          <w:r>
            <w:rPr>
              <w:b/>
              <w:color w:val="FF0000"/>
              <w:szCs w:val="16"/>
            </w:rPr>
            <w:t xml:space="preserve"> </w:t>
          </w:r>
        </w:p>
      </w:tc>
    </w:tr>
    <w:bookmarkEnd w:id="0"/>
    <w:tr w:rsidR="001C190E" w14:paraId="51A28CE6" w14:textId="77777777" w:rsidTr="00EE3CAF">
      <w:trPr>
        <w:trHeight w:val="213"/>
        <w:jc w:val="center"/>
      </w:trPr>
      <w:tc>
        <w:tcPr>
          <w:tcW w:w="3794" w:type="dxa"/>
          <w:vMerge w:val="restart"/>
          <w:shd w:val="clear" w:color="auto" w:fill="FFFFFF"/>
          <w:tcMar>
            <w:left w:w="0" w:type="dxa"/>
            <w:right w:w="0" w:type="dxa"/>
          </w:tcMar>
        </w:tcPr>
        <w:p w14:paraId="259B14B4" w14:textId="77777777" w:rsidR="00ED54E0" w:rsidRPr="00EA4725" w:rsidRDefault="00574F7B" w:rsidP="00422B6F">
          <w:pPr>
            <w:jc w:val="left"/>
          </w:pPr>
          <w:r>
            <w:rPr>
              <w:lang w:eastAsia="en-GB"/>
            </w:rPr>
            <w:pict w14:anchorId="72A7B6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9761222" w14:textId="77777777" w:rsidR="00ED54E0" w:rsidRPr="00EA4725" w:rsidRDefault="00ED54E0" w:rsidP="00422B6F">
          <w:pPr>
            <w:jc w:val="right"/>
            <w:rPr>
              <w:b/>
              <w:szCs w:val="16"/>
            </w:rPr>
          </w:pPr>
        </w:p>
      </w:tc>
    </w:tr>
    <w:tr w:rsidR="001C190E" w14:paraId="22AF04FD" w14:textId="77777777" w:rsidTr="00EE3CAF">
      <w:trPr>
        <w:trHeight w:val="868"/>
        <w:jc w:val="center"/>
      </w:trPr>
      <w:tc>
        <w:tcPr>
          <w:tcW w:w="3794" w:type="dxa"/>
          <w:vMerge/>
          <w:shd w:val="clear" w:color="auto" w:fill="FFFFFF"/>
          <w:tcMar>
            <w:left w:w="108" w:type="dxa"/>
            <w:right w:w="108" w:type="dxa"/>
          </w:tcMar>
        </w:tcPr>
        <w:p w14:paraId="640438A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4DDABA3" w14:textId="77777777" w:rsidR="00BF2788" w:rsidRDefault="005760A5" w:rsidP="00656ABC">
          <w:pPr>
            <w:jc w:val="right"/>
            <w:rPr>
              <w:b/>
              <w:szCs w:val="16"/>
            </w:rPr>
          </w:pPr>
          <w:bookmarkStart w:id="1" w:name="bmkSymbols"/>
          <w:r>
            <w:rPr>
              <w:b/>
              <w:szCs w:val="16"/>
            </w:rPr>
            <w:t>G/SPS/N/CHN/1306</w:t>
          </w:r>
          <w:bookmarkEnd w:id="1"/>
        </w:p>
      </w:tc>
    </w:tr>
    <w:tr w:rsidR="001C190E" w14:paraId="04BF1E48" w14:textId="77777777" w:rsidTr="00EE3CAF">
      <w:trPr>
        <w:trHeight w:val="240"/>
        <w:jc w:val="center"/>
      </w:trPr>
      <w:tc>
        <w:tcPr>
          <w:tcW w:w="3794" w:type="dxa"/>
          <w:vMerge/>
          <w:shd w:val="clear" w:color="auto" w:fill="FFFFFF"/>
          <w:tcMar>
            <w:left w:w="108" w:type="dxa"/>
            <w:right w:w="108" w:type="dxa"/>
          </w:tcMar>
          <w:vAlign w:val="center"/>
        </w:tcPr>
        <w:p w14:paraId="2F5F3281" w14:textId="77777777" w:rsidR="00ED54E0" w:rsidRPr="00EA4725" w:rsidRDefault="00ED54E0" w:rsidP="00422B6F"/>
      </w:tc>
      <w:tc>
        <w:tcPr>
          <w:tcW w:w="5448" w:type="dxa"/>
          <w:gridSpan w:val="2"/>
          <w:shd w:val="clear" w:color="auto" w:fill="FFFFFF"/>
          <w:tcMar>
            <w:left w:w="108" w:type="dxa"/>
            <w:right w:w="108" w:type="dxa"/>
          </w:tcMar>
          <w:vAlign w:val="center"/>
        </w:tcPr>
        <w:p w14:paraId="72215B79" w14:textId="77777777" w:rsidR="00ED54E0" w:rsidRPr="00EA4725" w:rsidRDefault="005760A5" w:rsidP="00422B6F">
          <w:pPr>
            <w:jc w:val="right"/>
            <w:rPr>
              <w:szCs w:val="16"/>
            </w:rPr>
          </w:pPr>
          <w:bookmarkStart w:id="2" w:name="spsDateDistribution"/>
          <w:bookmarkStart w:id="3" w:name="bmkDate"/>
          <w:bookmarkEnd w:id="2"/>
          <w:r w:rsidRPr="00EA4725">
            <w:rPr>
              <w:szCs w:val="16"/>
            </w:rPr>
            <w:t>11 July 2024</w:t>
          </w:r>
          <w:bookmarkEnd w:id="3"/>
        </w:p>
      </w:tc>
    </w:tr>
    <w:tr w:rsidR="001C190E" w14:paraId="6C43B03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2F9643C" w14:textId="4DAF345D" w:rsidR="00ED54E0" w:rsidRPr="00EA4725" w:rsidRDefault="005760A5"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574F7B">
            <w:rPr>
              <w:color w:val="FF0000"/>
              <w:szCs w:val="16"/>
            </w:rPr>
            <w:t>5073</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24870E7E" w14:textId="77777777" w:rsidR="00ED54E0" w:rsidRPr="00EA4725" w:rsidRDefault="005760A5"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1C190E" w14:paraId="50B6414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BCB3F62" w14:textId="55143321" w:rsidR="00ED54E0" w:rsidRPr="00EA4725" w:rsidRDefault="005760A5"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3F4B8EE8" w14:textId="6473D870" w:rsidR="00ED54E0" w:rsidRPr="00441372" w:rsidRDefault="005760A5" w:rsidP="00EC687E">
          <w:pPr>
            <w:jc w:val="right"/>
            <w:rPr>
              <w:bCs/>
              <w:szCs w:val="18"/>
            </w:rPr>
          </w:pPr>
          <w:bookmarkStart w:id="8" w:name="bmkLanguage"/>
          <w:r>
            <w:rPr>
              <w:bCs/>
              <w:szCs w:val="18"/>
            </w:rPr>
            <w:t>Original: English</w:t>
          </w:r>
          <w:bookmarkEnd w:id="8"/>
        </w:p>
      </w:tc>
    </w:tr>
  </w:tbl>
  <w:p w14:paraId="7AF4442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BF0D6E"/>
    <w:multiLevelType w:val="hybridMultilevel"/>
    <w:tmpl w:val="B294471E"/>
    <w:lvl w:ilvl="0" w:tplc="7332CFEC">
      <w:start w:val="4"/>
      <w:numFmt w:val="bullet"/>
      <w:lvlText w:val="-"/>
      <w:lvlJc w:val="left"/>
      <w:pPr>
        <w:ind w:left="720" w:hanging="360"/>
      </w:pPr>
      <w:rPr>
        <w:rFonts w:ascii="Verdana" w:eastAsia="Calibri" w:hAnsi="Verdana" w:cs="Times New Roman" w:hint="default"/>
      </w:rPr>
    </w:lvl>
    <w:lvl w:ilvl="1" w:tplc="0FC8B1FE" w:tentative="1">
      <w:start w:val="1"/>
      <w:numFmt w:val="bullet"/>
      <w:lvlText w:val="o"/>
      <w:lvlJc w:val="left"/>
      <w:pPr>
        <w:ind w:left="1440" w:hanging="360"/>
      </w:pPr>
      <w:rPr>
        <w:rFonts w:ascii="Courier New" w:hAnsi="Courier New" w:cs="Courier New" w:hint="default"/>
      </w:rPr>
    </w:lvl>
    <w:lvl w:ilvl="2" w:tplc="D6D420D8" w:tentative="1">
      <w:start w:val="1"/>
      <w:numFmt w:val="bullet"/>
      <w:lvlText w:val=""/>
      <w:lvlJc w:val="left"/>
      <w:pPr>
        <w:ind w:left="2160" w:hanging="360"/>
      </w:pPr>
      <w:rPr>
        <w:rFonts w:ascii="Wingdings" w:hAnsi="Wingdings" w:hint="default"/>
      </w:rPr>
    </w:lvl>
    <w:lvl w:ilvl="3" w:tplc="8408C940" w:tentative="1">
      <w:start w:val="1"/>
      <w:numFmt w:val="bullet"/>
      <w:lvlText w:val=""/>
      <w:lvlJc w:val="left"/>
      <w:pPr>
        <w:ind w:left="2880" w:hanging="360"/>
      </w:pPr>
      <w:rPr>
        <w:rFonts w:ascii="Symbol" w:hAnsi="Symbol" w:hint="default"/>
      </w:rPr>
    </w:lvl>
    <w:lvl w:ilvl="4" w:tplc="4B86A464" w:tentative="1">
      <w:start w:val="1"/>
      <w:numFmt w:val="bullet"/>
      <w:lvlText w:val="o"/>
      <w:lvlJc w:val="left"/>
      <w:pPr>
        <w:ind w:left="3600" w:hanging="360"/>
      </w:pPr>
      <w:rPr>
        <w:rFonts w:ascii="Courier New" w:hAnsi="Courier New" w:cs="Courier New" w:hint="default"/>
      </w:rPr>
    </w:lvl>
    <w:lvl w:ilvl="5" w:tplc="190A0EF8" w:tentative="1">
      <w:start w:val="1"/>
      <w:numFmt w:val="bullet"/>
      <w:lvlText w:val=""/>
      <w:lvlJc w:val="left"/>
      <w:pPr>
        <w:ind w:left="4320" w:hanging="360"/>
      </w:pPr>
      <w:rPr>
        <w:rFonts w:ascii="Wingdings" w:hAnsi="Wingdings" w:hint="default"/>
      </w:rPr>
    </w:lvl>
    <w:lvl w:ilvl="6" w:tplc="9524F1C4" w:tentative="1">
      <w:start w:val="1"/>
      <w:numFmt w:val="bullet"/>
      <w:lvlText w:val=""/>
      <w:lvlJc w:val="left"/>
      <w:pPr>
        <w:ind w:left="5040" w:hanging="360"/>
      </w:pPr>
      <w:rPr>
        <w:rFonts w:ascii="Symbol" w:hAnsi="Symbol" w:hint="default"/>
      </w:rPr>
    </w:lvl>
    <w:lvl w:ilvl="7" w:tplc="949A4C8E" w:tentative="1">
      <w:start w:val="1"/>
      <w:numFmt w:val="bullet"/>
      <w:lvlText w:val="o"/>
      <w:lvlJc w:val="left"/>
      <w:pPr>
        <w:ind w:left="5760" w:hanging="360"/>
      </w:pPr>
      <w:rPr>
        <w:rFonts w:ascii="Courier New" w:hAnsi="Courier New" w:cs="Courier New" w:hint="default"/>
      </w:rPr>
    </w:lvl>
    <w:lvl w:ilvl="8" w:tplc="3808D38C"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9C64280A">
      <w:start w:val="1"/>
      <w:numFmt w:val="decimal"/>
      <w:pStyle w:val="SummaryText"/>
      <w:lvlText w:val="%1."/>
      <w:lvlJc w:val="left"/>
      <w:pPr>
        <w:ind w:left="360" w:hanging="360"/>
      </w:pPr>
    </w:lvl>
    <w:lvl w:ilvl="1" w:tplc="716EEEC6" w:tentative="1">
      <w:start w:val="1"/>
      <w:numFmt w:val="lowerLetter"/>
      <w:lvlText w:val="%2."/>
      <w:lvlJc w:val="left"/>
      <w:pPr>
        <w:ind w:left="1080" w:hanging="360"/>
      </w:pPr>
    </w:lvl>
    <w:lvl w:ilvl="2" w:tplc="DE8C31C0" w:tentative="1">
      <w:start w:val="1"/>
      <w:numFmt w:val="lowerRoman"/>
      <w:lvlText w:val="%3."/>
      <w:lvlJc w:val="right"/>
      <w:pPr>
        <w:ind w:left="1800" w:hanging="180"/>
      </w:pPr>
    </w:lvl>
    <w:lvl w:ilvl="3" w:tplc="DCA66BFA" w:tentative="1">
      <w:start w:val="1"/>
      <w:numFmt w:val="decimal"/>
      <w:lvlText w:val="%4."/>
      <w:lvlJc w:val="left"/>
      <w:pPr>
        <w:ind w:left="2520" w:hanging="360"/>
      </w:pPr>
    </w:lvl>
    <w:lvl w:ilvl="4" w:tplc="DDAE0744" w:tentative="1">
      <w:start w:val="1"/>
      <w:numFmt w:val="lowerLetter"/>
      <w:lvlText w:val="%5."/>
      <w:lvlJc w:val="left"/>
      <w:pPr>
        <w:ind w:left="3240" w:hanging="360"/>
      </w:pPr>
    </w:lvl>
    <w:lvl w:ilvl="5" w:tplc="13A27D14" w:tentative="1">
      <w:start w:val="1"/>
      <w:numFmt w:val="lowerRoman"/>
      <w:lvlText w:val="%6."/>
      <w:lvlJc w:val="right"/>
      <w:pPr>
        <w:ind w:left="3960" w:hanging="180"/>
      </w:pPr>
    </w:lvl>
    <w:lvl w:ilvl="6" w:tplc="EA26486E" w:tentative="1">
      <w:start w:val="1"/>
      <w:numFmt w:val="decimal"/>
      <w:lvlText w:val="%7."/>
      <w:lvlJc w:val="left"/>
      <w:pPr>
        <w:ind w:left="4680" w:hanging="360"/>
      </w:pPr>
    </w:lvl>
    <w:lvl w:ilvl="7" w:tplc="06B4909A" w:tentative="1">
      <w:start w:val="1"/>
      <w:numFmt w:val="lowerLetter"/>
      <w:lvlText w:val="%8."/>
      <w:lvlJc w:val="left"/>
      <w:pPr>
        <w:ind w:left="5400" w:hanging="360"/>
      </w:pPr>
    </w:lvl>
    <w:lvl w:ilvl="8" w:tplc="F068888E" w:tentative="1">
      <w:start w:val="1"/>
      <w:numFmt w:val="lowerRoman"/>
      <w:lvlText w:val="%9."/>
      <w:lvlJc w:val="right"/>
      <w:pPr>
        <w:ind w:left="6120" w:hanging="180"/>
      </w:pPr>
    </w:lvl>
  </w:abstractNum>
  <w:abstractNum w:abstractNumId="15" w15:restartNumberingAfterBreak="0">
    <w:nsid w:val="782D1700"/>
    <w:multiLevelType w:val="hybridMultilevel"/>
    <w:tmpl w:val="45C885F0"/>
    <w:lvl w:ilvl="0" w:tplc="8F542236">
      <w:start w:val="1"/>
      <w:numFmt w:val="bullet"/>
      <w:lvlText w:val="-"/>
      <w:lvlJc w:val="left"/>
      <w:pPr>
        <w:ind w:left="720" w:hanging="360"/>
      </w:pPr>
      <w:rPr>
        <w:rFonts w:ascii="Symbol" w:hAnsi="Symbol" w:hint="default"/>
      </w:rPr>
    </w:lvl>
    <w:lvl w:ilvl="1" w:tplc="E1E00A3E" w:tentative="1">
      <w:start w:val="1"/>
      <w:numFmt w:val="bullet"/>
      <w:lvlText w:val="o"/>
      <w:lvlJc w:val="left"/>
      <w:pPr>
        <w:ind w:left="1440" w:hanging="360"/>
      </w:pPr>
      <w:rPr>
        <w:rFonts w:ascii="Courier New" w:hAnsi="Courier New" w:cs="Courier New" w:hint="default"/>
      </w:rPr>
    </w:lvl>
    <w:lvl w:ilvl="2" w:tplc="42D08D50" w:tentative="1">
      <w:start w:val="1"/>
      <w:numFmt w:val="bullet"/>
      <w:lvlText w:val=""/>
      <w:lvlJc w:val="left"/>
      <w:pPr>
        <w:ind w:left="2160" w:hanging="360"/>
      </w:pPr>
      <w:rPr>
        <w:rFonts w:ascii="Wingdings" w:hAnsi="Wingdings" w:hint="default"/>
      </w:rPr>
    </w:lvl>
    <w:lvl w:ilvl="3" w:tplc="C4046826" w:tentative="1">
      <w:start w:val="1"/>
      <w:numFmt w:val="bullet"/>
      <w:lvlText w:val=""/>
      <w:lvlJc w:val="left"/>
      <w:pPr>
        <w:ind w:left="2880" w:hanging="360"/>
      </w:pPr>
      <w:rPr>
        <w:rFonts w:ascii="Symbol" w:hAnsi="Symbol" w:hint="default"/>
      </w:rPr>
    </w:lvl>
    <w:lvl w:ilvl="4" w:tplc="FF1EA7CC" w:tentative="1">
      <w:start w:val="1"/>
      <w:numFmt w:val="bullet"/>
      <w:lvlText w:val="o"/>
      <w:lvlJc w:val="left"/>
      <w:pPr>
        <w:ind w:left="3600" w:hanging="360"/>
      </w:pPr>
      <w:rPr>
        <w:rFonts w:ascii="Courier New" w:hAnsi="Courier New" w:cs="Courier New" w:hint="default"/>
      </w:rPr>
    </w:lvl>
    <w:lvl w:ilvl="5" w:tplc="CF5C86D0" w:tentative="1">
      <w:start w:val="1"/>
      <w:numFmt w:val="bullet"/>
      <w:lvlText w:val=""/>
      <w:lvlJc w:val="left"/>
      <w:pPr>
        <w:ind w:left="4320" w:hanging="360"/>
      </w:pPr>
      <w:rPr>
        <w:rFonts w:ascii="Wingdings" w:hAnsi="Wingdings" w:hint="default"/>
      </w:rPr>
    </w:lvl>
    <w:lvl w:ilvl="6" w:tplc="3DD8DEFA" w:tentative="1">
      <w:start w:val="1"/>
      <w:numFmt w:val="bullet"/>
      <w:lvlText w:val=""/>
      <w:lvlJc w:val="left"/>
      <w:pPr>
        <w:ind w:left="5040" w:hanging="360"/>
      </w:pPr>
      <w:rPr>
        <w:rFonts w:ascii="Symbol" w:hAnsi="Symbol" w:hint="default"/>
      </w:rPr>
    </w:lvl>
    <w:lvl w:ilvl="7" w:tplc="B30A2D7A" w:tentative="1">
      <w:start w:val="1"/>
      <w:numFmt w:val="bullet"/>
      <w:lvlText w:val="o"/>
      <w:lvlJc w:val="left"/>
      <w:pPr>
        <w:ind w:left="5760" w:hanging="360"/>
      </w:pPr>
      <w:rPr>
        <w:rFonts w:ascii="Courier New" w:hAnsi="Courier New" w:cs="Courier New" w:hint="default"/>
      </w:rPr>
    </w:lvl>
    <w:lvl w:ilvl="8" w:tplc="09CAF1AE" w:tentative="1">
      <w:start w:val="1"/>
      <w:numFmt w:val="bullet"/>
      <w:lvlText w:val=""/>
      <w:lvlJc w:val="left"/>
      <w:pPr>
        <w:ind w:left="6480" w:hanging="360"/>
      </w:pPr>
      <w:rPr>
        <w:rFonts w:ascii="Wingdings" w:hAnsi="Wingdings" w:hint="default"/>
      </w:rPr>
    </w:lvl>
  </w:abstractNum>
  <w:num w:numId="1" w16cid:durableId="1235625492">
    <w:abstractNumId w:val="9"/>
  </w:num>
  <w:num w:numId="2" w16cid:durableId="552153701">
    <w:abstractNumId w:val="7"/>
  </w:num>
  <w:num w:numId="3" w16cid:durableId="146558299">
    <w:abstractNumId w:val="6"/>
  </w:num>
  <w:num w:numId="4" w16cid:durableId="714818849">
    <w:abstractNumId w:val="5"/>
  </w:num>
  <w:num w:numId="5" w16cid:durableId="571693615">
    <w:abstractNumId w:val="4"/>
  </w:num>
  <w:num w:numId="6" w16cid:durableId="1395277509">
    <w:abstractNumId w:val="13"/>
  </w:num>
  <w:num w:numId="7" w16cid:durableId="6249399">
    <w:abstractNumId w:val="12"/>
  </w:num>
  <w:num w:numId="8" w16cid:durableId="47582036">
    <w:abstractNumId w:val="11"/>
  </w:num>
  <w:num w:numId="9" w16cid:durableId="3188527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1814839">
    <w:abstractNumId w:val="14"/>
  </w:num>
  <w:num w:numId="11" w16cid:durableId="1013923827">
    <w:abstractNumId w:val="8"/>
  </w:num>
  <w:num w:numId="12" w16cid:durableId="1900630826">
    <w:abstractNumId w:val="3"/>
  </w:num>
  <w:num w:numId="13" w16cid:durableId="662195782">
    <w:abstractNumId w:val="2"/>
  </w:num>
  <w:num w:numId="14" w16cid:durableId="297490511">
    <w:abstractNumId w:val="1"/>
  </w:num>
  <w:num w:numId="15" w16cid:durableId="1803304418">
    <w:abstractNumId w:val="0"/>
  </w:num>
  <w:num w:numId="16" w16cid:durableId="571818083">
    <w:abstractNumId w:val="15"/>
  </w:num>
  <w:num w:numId="17" w16cid:durableId="7067545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C190E"/>
    <w:rsid w:val="001E291F"/>
    <w:rsid w:val="001E596A"/>
    <w:rsid w:val="001F0374"/>
    <w:rsid w:val="00233408"/>
    <w:rsid w:val="0027067B"/>
    <w:rsid w:val="00272C98"/>
    <w:rsid w:val="002A67C2"/>
    <w:rsid w:val="002C2634"/>
    <w:rsid w:val="00334D8B"/>
    <w:rsid w:val="0035602E"/>
    <w:rsid w:val="003572B4"/>
    <w:rsid w:val="003649FD"/>
    <w:rsid w:val="003817C7"/>
    <w:rsid w:val="00383D1A"/>
    <w:rsid w:val="00395125"/>
    <w:rsid w:val="003E2958"/>
    <w:rsid w:val="00422B6F"/>
    <w:rsid w:val="00423377"/>
    <w:rsid w:val="00441372"/>
    <w:rsid w:val="00467032"/>
    <w:rsid w:val="0046754A"/>
    <w:rsid w:val="004B39D5"/>
    <w:rsid w:val="004E4B52"/>
    <w:rsid w:val="004F203A"/>
    <w:rsid w:val="005336B8"/>
    <w:rsid w:val="00547B5F"/>
    <w:rsid w:val="00574F7B"/>
    <w:rsid w:val="005760A5"/>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BF278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A4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CHN/24_04504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s@customs.gov.cn" TargetMode="External"/><Relationship Id="rId4" Type="http://schemas.openxmlformats.org/officeDocument/2006/relationships/settings" Target="settings.xml"/><Relationship Id="rId9" Type="http://schemas.openxmlformats.org/officeDocument/2006/relationships/hyperlink" Target="mailto:sps@customs.gov.c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1f3203e5-b039-4283-a8b3-dc9367f37412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3674BEB-B2A0-4DD7-8189-19FBA36C52E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2024-07-11T10:03:00Z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G/SPS/N/CHN/1306</vt:lpwstr>
  </property>
  <property fmtid="{D5CDD505-2E9C-101B-9397-08002B2CF9AE}" pid="3" name="TitusGUID">
    <vt:lpwstr>1f3203e5-b039-4283-a8b3-dc9367f37412</vt:lpwstr>
  </property>
  <property fmtid="{D5CDD505-2E9C-101B-9397-08002B2CF9AE}" pid="4" name="WTOCLASSIFICATION">
    <vt:lpwstr>WTO OFFICIAL</vt:lpwstr>
  </property>
</Properties>
</file>