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F7" w:rsidRPr="002F6A28" w:rsidRDefault="00595C56" w:rsidP="002F6A28">
      <w:pPr>
        <w:pStyle w:val="Titre"/>
        <w:rPr>
          <w:caps w:val="0"/>
          <w:kern w:val="0"/>
        </w:rPr>
      </w:pPr>
      <w:r w:rsidRPr="002F6A28">
        <w:rPr>
          <w:caps w:val="0"/>
          <w:kern w:val="0"/>
        </w:rPr>
        <w:t>NOTIFICATION</w:t>
      </w:r>
    </w:p>
    <w:p w:rsidR="009239F7" w:rsidRPr="002F6A28" w:rsidRDefault="00595C56" w:rsidP="002F6A28">
      <w:pPr>
        <w:jc w:val="center"/>
      </w:pPr>
      <w:r w:rsidRPr="002F6A28">
        <w:t>The following notification is being circulated in accordance with Article 10.6</w:t>
      </w:r>
    </w:p>
    <w:p w:rsidR="009239F7" w:rsidRPr="002F6A28" w:rsidRDefault="0094539F"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CF684D" w:rsidTr="002F6A28">
        <w:tc>
          <w:tcPr>
            <w:tcW w:w="713" w:type="dxa"/>
            <w:shd w:val="clear" w:color="auto" w:fill="auto"/>
          </w:tcPr>
          <w:p w:rsidR="00F85C99" w:rsidRPr="002F6A28" w:rsidRDefault="00595C56" w:rsidP="002F6A28">
            <w:pPr>
              <w:spacing w:before="120" w:after="120"/>
              <w:jc w:val="left"/>
            </w:pPr>
            <w:r w:rsidRPr="002F6A28">
              <w:rPr>
                <w:b/>
              </w:rPr>
              <w:t>1.</w:t>
            </w:r>
          </w:p>
        </w:tc>
        <w:tc>
          <w:tcPr>
            <w:tcW w:w="8546" w:type="dxa"/>
            <w:shd w:val="clear" w:color="auto" w:fill="auto"/>
          </w:tcPr>
          <w:p w:rsidR="00F85C99" w:rsidRPr="002F6A28" w:rsidRDefault="00595C56" w:rsidP="002F6A28">
            <w:pPr>
              <w:spacing w:before="120" w:after="120"/>
            </w:pPr>
            <w:r w:rsidRPr="002F6A28">
              <w:rPr>
                <w:b/>
              </w:rPr>
              <w:t xml:space="preserve">Notifying Member: </w:t>
            </w:r>
            <w:bookmarkStart w:id="0" w:name="sps1a"/>
            <w:r w:rsidRPr="00812D1D">
              <w:rPr>
                <w:caps/>
                <w:u w:val="single"/>
              </w:rPr>
              <w:t>Uganda</w:t>
            </w:r>
            <w:bookmarkEnd w:id="0"/>
            <w:r w:rsidRPr="002F6A28">
              <w:t xml:space="preserve"> </w:t>
            </w:r>
          </w:p>
          <w:p w:rsidR="00F85C99" w:rsidRPr="002F6A28" w:rsidRDefault="00595C56" w:rsidP="002F6A28">
            <w:pPr>
              <w:spacing w:after="120"/>
            </w:pPr>
            <w:r w:rsidRPr="002F6A28">
              <w:rPr>
                <w:b/>
              </w:rPr>
              <w:t>If applicable, name of local government involved (Article 3.2 and 7.2):</w:t>
            </w:r>
            <w:r w:rsidRPr="002F6A28">
              <w:t xml:space="preserve"> </w:t>
            </w:r>
            <w:bookmarkStart w:id="1" w:name="sps1b"/>
            <w:bookmarkEnd w:id="1"/>
          </w:p>
        </w:tc>
      </w:tr>
      <w:tr w:rsidR="00CF684D" w:rsidTr="002F6A28">
        <w:tc>
          <w:tcPr>
            <w:tcW w:w="713" w:type="dxa"/>
            <w:shd w:val="clear" w:color="auto" w:fill="auto"/>
          </w:tcPr>
          <w:p w:rsidR="00F85C99" w:rsidRPr="002F6A28" w:rsidRDefault="00595C56" w:rsidP="002F6A28">
            <w:pPr>
              <w:spacing w:before="120" w:after="120"/>
              <w:jc w:val="left"/>
            </w:pPr>
            <w:r w:rsidRPr="002F6A28">
              <w:rPr>
                <w:b/>
              </w:rPr>
              <w:t>2.</w:t>
            </w:r>
          </w:p>
        </w:tc>
        <w:tc>
          <w:tcPr>
            <w:tcW w:w="8546" w:type="dxa"/>
            <w:shd w:val="clear" w:color="auto" w:fill="auto"/>
          </w:tcPr>
          <w:p w:rsidR="00F85C99" w:rsidRPr="002F6A28" w:rsidRDefault="00595C56" w:rsidP="002F6A28">
            <w:pPr>
              <w:spacing w:before="120" w:after="120"/>
              <w:jc w:val="left"/>
            </w:pPr>
            <w:r w:rsidRPr="002F6A28">
              <w:rPr>
                <w:b/>
              </w:rPr>
              <w:t xml:space="preserve">Agency responsible: </w:t>
            </w:r>
            <w:r>
              <w:t>Uganda National Bureau of Standards</w:t>
            </w:r>
            <w:bookmarkStart w:id="2" w:name="sps2a"/>
            <w:bookmarkEnd w:id="2"/>
          </w:p>
          <w:p w:rsidR="00F85C99" w:rsidRPr="002F6A28" w:rsidRDefault="00595C56"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bookmarkStart w:id="3" w:name="sps4a"/>
            <w:bookmarkEnd w:id="3"/>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3.</w:t>
            </w:r>
          </w:p>
        </w:tc>
        <w:tc>
          <w:tcPr>
            <w:tcW w:w="8546" w:type="dxa"/>
            <w:shd w:val="clear" w:color="auto" w:fill="auto"/>
          </w:tcPr>
          <w:p w:rsidR="00F85C99" w:rsidRPr="002F6A28" w:rsidRDefault="00595C56" w:rsidP="00493421">
            <w:pPr>
              <w:spacing w:before="120" w:after="120"/>
              <w:rPr>
                <w:b/>
              </w:rPr>
            </w:pPr>
            <w:r w:rsidRPr="002F6A28">
              <w:rPr>
                <w:b/>
              </w:rPr>
              <w:t xml:space="preserve">Notified under Article 2.9.2 </w:t>
            </w:r>
            <w:bookmarkStart w:id="4" w:name="tbt3a"/>
            <w:r>
              <w:rPr>
                <w:b/>
              </w:rPr>
              <w:t>[</w:t>
            </w:r>
            <w:r w:rsidRPr="002F6A28">
              <w:rPr>
                <w:b/>
              </w:rPr>
              <w:t>X</w:t>
            </w:r>
            <w:bookmarkEnd w:id="4"/>
            <w:r w:rsidRPr="002F6A28">
              <w:rPr>
                <w:b/>
              </w:rPr>
              <w:t>], 2.10.1 [</w:t>
            </w:r>
            <w:bookmarkStart w:id="5" w:name="tbt3b"/>
            <w:bookmarkStart w:id="6" w:name="tbt3c"/>
            <w:bookmarkEnd w:id="5"/>
            <w:r>
              <w:rPr>
                <w:b/>
              </w:rPr>
              <w:t> ], 5.6.2 [</w:t>
            </w:r>
            <w:r w:rsidRPr="002F6A28">
              <w:rPr>
                <w:b/>
              </w:rPr>
              <w:t>X</w:t>
            </w:r>
            <w:bookmarkEnd w:id="6"/>
            <w:r w:rsidRPr="002F6A28">
              <w:rPr>
                <w:b/>
              </w:rPr>
              <w:t>], 5.7.1 [ </w:t>
            </w:r>
            <w:bookmarkStart w:id="7" w:name="tbt3d"/>
            <w:bookmarkEnd w:id="7"/>
            <w:r w:rsidRPr="002F6A28">
              <w:rPr>
                <w:b/>
              </w:rPr>
              <w:t>], other:</w:t>
            </w:r>
            <w:bookmarkStart w:id="8" w:name="tbt3e"/>
            <w:bookmarkEnd w:id="8"/>
          </w:p>
        </w:tc>
      </w:tr>
      <w:tr w:rsidR="00CF684D" w:rsidTr="002F6A28">
        <w:tc>
          <w:tcPr>
            <w:tcW w:w="713" w:type="dxa"/>
            <w:shd w:val="clear" w:color="auto" w:fill="auto"/>
          </w:tcPr>
          <w:p w:rsidR="00F85C99" w:rsidRPr="002F6A28" w:rsidRDefault="00595C56" w:rsidP="002F6A28">
            <w:pPr>
              <w:spacing w:before="120" w:after="120"/>
              <w:jc w:val="left"/>
            </w:pPr>
            <w:r w:rsidRPr="002F6A28">
              <w:rPr>
                <w:b/>
              </w:rPr>
              <w:t>4.</w:t>
            </w:r>
          </w:p>
        </w:tc>
        <w:tc>
          <w:tcPr>
            <w:tcW w:w="8546" w:type="dxa"/>
            <w:shd w:val="clear" w:color="auto" w:fill="auto"/>
          </w:tcPr>
          <w:p w:rsidR="00F85C99" w:rsidRPr="002F6A28" w:rsidRDefault="00595C56" w:rsidP="002F6A28">
            <w:pPr>
              <w:spacing w:before="120" w:after="120"/>
            </w:pPr>
            <w:r w:rsidRPr="002F6A28">
              <w:rPr>
                <w:b/>
              </w:rPr>
              <w:t xml:space="preserve">Products covered (HS or CCCN where applicable, otherwise national tariff heading. ICS numbers may be provided in addition, where applicable): </w:t>
            </w:r>
            <w:r>
              <w:t>Occupational safety. Industrial hygiene (ICS 13.100).</w:t>
            </w:r>
            <w:bookmarkStart w:id="9" w:name="sps3a"/>
            <w:bookmarkEnd w:id="9"/>
          </w:p>
        </w:tc>
      </w:tr>
      <w:tr w:rsidR="00CF684D" w:rsidTr="002F6A28">
        <w:tc>
          <w:tcPr>
            <w:tcW w:w="713" w:type="dxa"/>
            <w:shd w:val="clear" w:color="auto" w:fill="auto"/>
          </w:tcPr>
          <w:p w:rsidR="00F85C99" w:rsidRPr="002F6A28" w:rsidRDefault="00595C56" w:rsidP="002F6A28">
            <w:pPr>
              <w:spacing w:before="120" w:after="120"/>
              <w:jc w:val="left"/>
            </w:pPr>
            <w:r w:rsidRPr="002F6A28">
              <w:rPr>
                <w:b/>
              </w:rPr>
              <w:t>5.</w:t>
            </w:r>
          </w:p>
        </w:tc>
        <w:tc>
          <w:tcPr>
            <w:tcW w:w="8546" w:type="dxa"/>
            <w:shd w:val="clear" w:color="auto" w:fill="auto"/>
          </w:tcPr>
          <w:p w:rsidR="00F85C99" w:rsidRPr="002F6A28" w:rsidRDefault="00595C56" w:rsidP="002F6A28">
            <w:pPr>
              <w:spacing w:before="120" w:after="120"/>
            </w:pPr>
            <w:r w:rsidRPr="002F6A28">
              <w:rPr>
                <w:b/>
              </w:rPr>
              <w:t xml:space="preserve">Title, number of pages and language(s) of the notified document: </w:t>
            </w:r>
            <w:r>
              <w:t>DUS 1815: 2017, Standard Guide for Recording Occupational Injuries and Illnesses. (11 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6.</w:t>
            </w:r>
          </w:p>
        </w:tc>
        <w:tc>
          <w:tcPr>
            <w:tcW w:w="8546" w:type="dxa"/>
            <w:shd w:val="clear" w:color="auto" w:fill="auto"/>
          </w:tcPr>
          <w:p w:rsidR="00F85C99" w:rsidRPr="002F6A28" w:rsidRDefault="00595C56" w:rsidP="002F6A28">
            <w:pPr>
              <w:spacing w:before="120" w:after="120"/>
              <w:rPr>
                <w:b/>
              </w:rPr>
            </w:pPr>
            <w:r w:rsidRPr="002F6A28">
              <w:rPr>
                <w:b/>
              </w:rPr>
              <w:t xml:space="preserve">Description of content: </w:t>
            </w:r>
            <w:r>
              <w:rPr>
                <w:lang w:eastAsia="en-GB"/>
              </w:rPr>
              <w:t>This draft guide is intended to establish definitions and criteria for recording occupational injuries and illnesses to be used for measuring safety performance, evaluating safety program performance, and improving consistency when comparing international performance. A measurement system is desired that is precise and accurate, difficult to manipulate, significant and meaningful for safety program evaluation, and appropriate for accountability purposes in a global environment.</w:t>
            </w:r>
            <w:bookmarkStart w:id="13" w:name="sps6a"/>
            <w:bookmarkEnd w:id="13"/>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7.</w:t>
            </w:r>
          </w:p>
        </w:tc>
        <w:tc>
          <w:tcPr>
            <w:tcW w:w="8546" w:type="dxa"/>
            <w:shd w:val="clear" w:color="auto" w:fill="auto"/>
          </w:tcPr>
          <w:p w:rsidR="00F85C99" w:rsidRPr="002F6A28" w:rsidRDefault="00595C56" w:rsidP="002F6A28">
            <w:pPr>
              <w:spacing w:before="120" w:after="120"/>
              <w:rPr>
                <w:b/>
              </w:rPr>
            </w:pPr>
            <w:r w:rsidRPr="002F6A28">
              <w:rPr>
                <w:b/>
              </w:rPr>
              <w:t xml:space="preserve">Objective and rationale, including the nature of urgent problems where applicable: </w:t>
            </w:r>
            <w:r>
              <w:t>Protection of human health or safety; Quality requirements</w:t>
            </w:r>
            <w:bookmarkStart w:id="14" w:name="sps7f"/>
            <w:bookmarkEnd w:id="14"/>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8.</w:t>
            </w:r>
          </w:p>
        </w:tc>
        <w:tc>
          <w:tcPr>
            <w:tcW w:w="8546" w:type="dxa"/>
            <w:shd w:val="clear" w:color="auto" w:fill="auto"/>
          </w:tcPr>
          <w:p w:rsidR="00F85C99" w:rsidRPr="002F6A28" w:rsidRDefault="00595C56" w:rsidP="00595C56">
            <w:pPr>
              <w:spacing w:before="120" w:after="120"/>
            </w:pPr>
            <w:r w:rsidRPr="002F6A28">
              <w:rPr>
                <w:b/>
              </w:rPr>
              <w:t>Relevant documents:</w:t>
            </w:r>
            <w:r w:rsidRPr="002F6A28">
              <w:t xml:space="preserve"> </w:t>
            </w:r>
            <w:r>
              <w:t>ASTM E1542  Terminology Relating to Occupational Health and Safety.</w:t>
            </w:r>
          </w:p>
        </w:tc>
      </w:tr>
      <w:tr w:rsidR="00CF684D" w:rsidTr="002F6A28">
        <w:tc>
          <w:tcPr>
            <w:tcW w:w="713" w:type="dxa"/>
            <w:shd w:val="clear" w:color="auto" w:fill="auto"/>
          </w:tcPr>
          <w:p w:rsidR="00EE3A11" w:rsidRPr="002F6A28" w:rsidRDefault="00595C56" w:rsidP="002F6A28">
            <w:pPr>
              <w:spacing w:before="120" w:after="120"/>
              <w:jc w:val="left"/>
              <w:rPr>
                <w:b/>
              </w:rPr>
            </w:pPr>
            <w:r w:rsidRPr="002F6A28">
              <w:rPr>
                <w:b/>
              </w:rPr>
              <w:t>9.</w:t>
            </w:r>
          </w:p>
        </w:tc>
        <w:tc>
          <w:tcPr>
            <w:tcW w:w="8546" w:type="dxa"/>
            <w:shd w:val="clear" w:color="auto" w:fill="auto"/>
          </w:tcPr>
          <w:p w:rsidR="00EE3A11" w:rsidRPr="002F6A28" w:rsidRDefault="00595C56" w:rsidP="00595C56">
            <w:pPr>
              <w:spacing w:before="120" w:after="120"/>
            </w:pPr>
            <w:r w:rsidRPr="002F6A28">
              <w:rPr>
                <w:b/>
              </w:rPr>
              <w:t xml:space="preserve">Proposed date of adoption: </w:t>
            </w:r>
            <w:bookmarkStart w:id="15" w:name="sps10a"/>
            <w:bookmarkStart w:id="16" w:name="sps10b"/>
            <w:bookmarkEnd w:id="15"/>
            <w:r w:rsidRPr="002F6A28">
              <w:t>December 2017</w:t>
            </w:r>
            <w:bookmarkEnd w:id="16"/>
          </w:p>
          <w:p w:rsidR="00EE3A11" w:rsidRPr="002F6A28" w:rsidRDefault="00595C56" w:rsidP="00595C56">
            <w:pPr>
              <w:spacing w:after="120"/>
            </w:pPr>
            <w:r w:rsidRPr="002F6A28">
              <w:rPr>
                <w:b/>
              </w:rPr>
              <w:t xml:space="preserve">Proposed date of entry into force: </w:t>
            </w:r>
            <w:bookmarkStart w:id="17" w:name="sps11a"/>
            <w:bookmarkStart w:id="18" w:name="sps11b"/>
            <w:bookmarkEnd w:id="17"/>
            <w:r w:rsidRPr="002F6A28">
              <w:t>Upon declaration as mandatory by the Minister for Trade, Industry and Cooperatives</w:t>
            </w:r>
            <w:bookmarkEnd w:id="18"/>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10.</w:t>
            </w:r>
          </w:p>
        </w:tc>
        <w:tc>
          <w:tcPr>
            <w:tcW w:w="8546" w:type="dxa"/>
            <w:shd w:val="clear" w:color="auto" w:fill="auto"/>
          </w:tcPr>
          <w:p w:rsidR="00F85C99" w:rsidRPr="002F6A28" w:rsidRDefault="00595C56" w:rsidP="002F6A28">
            <w:pPr>
              <w:spacing w:before="120" w:after="120"/>
            </w:pPr>
            <w:r w:rsidRPr="002F6A28">
              <w:rPr>
                <w:b/>
              </w:rPr>
              <w:t xml:space="preserve">Final date for comments: </w:t>
            </w:r>
            <w:r>
              <w:t>60 days from notification</w:t>
            </w:r>
            <w:bookmarkStart w:id="19" w:name="sps12a"/>
            <w:bookmarkEnd w:id="19"/>
          </w:p>
        </w:tc>
      </w:tr>
      <w:tr w:rsidR="00CF684D" w:rsidTr="002F6A28">
        <w:tc>
          <w:tcPr>
            <w:tcW w:w="713" w:type="dxa"/>
            <w:shd w:val="clear" w:color="auto" w:fill="auto"/>
          </w:tcPr>
          <w:p w:rsidR="00F85C99" w:rsidRPr="002F6A28" w:rsidRDefault="00595C56" w:rsidP="002F6A28">
            <w:pPr>
              <w:spacing w:before="120" w:after="120"/>
              <w:jc w:val="left"/>
              <w:rPr>
                <w:b/>
              </w:rPr>
            </w:pPr>
            <w:r w:rsidRPr="002F6A28">
              <w:rPr>
                <w:b/>
              </w:rPr>
              <w:t>11.</w:t>
            </w:r>
          </w:p>
        </w:tc>
        <w:tc>
          <w:tcPr>
            <w:tcW w:w="8546" w:type="dxa"/>
            <w:shd w:val="clear" w:color="auto" w:fill="auto"/>
          </w:tcPr>
          <w:p w:rsidR="000129DD" w:rsidRPr="002F6A28" w:rsidRDefault="00595C56" w:rsidP="002F6A28">
            <w:pPr>
              <w:spacing w:before="120" w:after="120"/>
            </w:pPr>
            <w:r w:rsidRPr="002F6A28">
              <w:rPr>
                <w:b/>
              </w:rPr>
              <w:t>Texts available from: National enquiry point [</w:t>
            </w:r>
            <w:bookmarkStart w:id="20" w:name="sps13b"/>
            <w:r w:rsidRPr="002F6A28">
              <w:rPr>
                <w:b/>
              </w:rPr>
              <w:t>X</w:t>
            </w:r>
            <w:bookmarkEnd w:id="20"/>
            <w:r w:rsidRPr="002F6A28">
              <w:rPr>
                <w:b/>
              </w:rPr>
              <w:t>] or address, telephone and fax numbers and email and website addresses, if available, of other body:</w:t>
            </w:r>
            <w:r w:rsidRPr="002F6A28">
              <w:t xml:space="preserve"> </w:t>
            </w:r>
          </w:p>
        </w:tc>
      </w:tr>
    </w:tbl>
    <w:p w:rsidR="00EE3A11" w:rsidRPr="002F6A28" w:rsidRDefault="0094539F" w:rsidP="002F6A28"/>
    <w:sectPr w:rsidR="00EE3A11" w:rsidRPr="002F6A28" w:rsidSect="00595C5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FC4" w:rsidRDefault="00595C56">
      <w:r>
        <w:separator/>
      </w:r>
    </w:p>
  </w:endnote>
  <w:endnote w:type="continuationSeparator" w:id="0">
    <w:p w:rsidR="00984FC4" w:rsidRDefault="00595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95C56" w:rsidRDefault="00595C56" w:rsidP="00595C56">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9F7" w:rsidRPr="00595C56" w:rsidRDefault="00595C56" w:rsidP="00595C56">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A11" w:rsidRPr="002F6A28" w:rsidRDefault="00595C56">
    <w:pPr>
      <w:pStyle w:val="Pieddepage"/>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FC4" w:rsidRDefault="00595C56">
      <w:r>
        <w:separator/>
      </w:r>
    </w:p>
  </w:footnote>
  <w:footnote w:type="continuationSeparator" w:id="0">
    <w:p w:rsidR="00984FC4" w:rsidRDefault="00595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56" w:rsidRPr="00595C56" w:rsidRDefault="00595C56" w:rsidP="00595C56">
    <w:pPr>
      <w:pStyle w:val="En-tte"/>
      <w:pBdr>
        <w:bottom w:val="single" w:sz="4" w:space="1" w:color="auto"/>
      </w:pBdr>
      <w:tabs>
        <w:tab w:val="clear" w:pos="4513"/>
        <w:tab w:val="clear" w:pos="9027"/>
      </w:tabs>
      <w:jc w:val="center"/>
    </w:pPr>
    <w:r w:rsidRPr="00595C56">
      <w:t>G/TBT/N/UGA/760</w:t>
    </w:r>
  </w:p>
  <w:p w:rsidR="00595C56" w:rsidRPr="00595C56" w:rsidRDefault="00595C56" w:rsidP="00595C56">
    <w:pPr>
      <w:pStyle w:val="En-tte"/>
      <w:pBdr>
        <w:bottom w:val="single" w:sz="4" w:space="1" w:color="auto"/>
      </w:pBdr>
      <w:tabs>
        <w:tab w:val="clear" w:pos="4513"/>
        <w:tab w:val="clear" w:pos="9027"/>
      </w:tabs>
      <w:jc w:val="center"/>
    </w:pPr>
  </w:p>
  <w:p w:rsidR="00595C56" w:rsidRPr="00595C56" w:rsidRDefault="00595C56" w:rsidP="00595C56">
    <w:pPr>
      <w:pStyle w:val="En-tte"/>
      <w:pBdr>
        <w:bottom w:val="single" w:sz="4" w:space="1" w:color="auto"/>
      </w:pBdr>
      <w:tabs>
        <w:tab w:val="clear" w:pos="4513"/>
        <w:tab w:val="clear" w:pos="9027"/>
      </w:tabs>
      <w:jc w:val="center"/>
    </w:pPr>
    <w:r w:rsidRPr="00595C56">
      <w:t xml:space="preserve">- </w:t>
    </w:r>
    <w:r w:rsidRPr="00595C56">
      <w:fldChar w:fldCharType="begin"/>
    </w:r>
    <w:r w:rsidRPr="00595C56">
      <w:instrText xml:space="preserve"> PAGE </w:instrText>
    </w:r>
    <w:r w:rsidRPr="00595C56">
      <w:fldChar w:fldCharType="separate"/>
    </w:r>
    <w:r w:rsidRPr="00595C56">
      <w:rPr>
        <w:noProof/>
      </w:rPr>
      <w:t>1</w:t>
    </w:r>
    <w:r w:rsidRPr="00595C56">
      <w:fldChar w:fldCharType="end"/>
    </w:r>
    <w:r w:rsidRPr="00595C56">
      <w:t xml:space="preserve"> -</w:t>
    </w:r>
  </w:p>
  <w:p w:rsidR="009239F7" w:rsidRPr="00595C56" w:rsidRDefault="0094539F" w:rsidP="00595C56">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C56" w:rsidRPr="00595C56" w:rsidRDefault="00595C56" w:rsidP="00595C56">
    <w:pPr>
      <w:pStyle w:val="En-tte"/>
      <w:pBdr>
        <w:bottom w:val="single" w:sz="4" w:space="1" w:color="auto"/>
      </w:pBdr>
      <w:tabs>
        <w:tab w:val="clear" w:pos="4513"/>
        <w:tab w:val="clear" w:pos="9027"/>
      </w:tabs>
      <w:jc w:val="center"/>
    </w:pPr>
    <w:r w:rsidRPr="00595C56">
      <w:t>G/TBT/N/UGA/760</w:t>
    </w:r>
  </w:p>
  <w:p w:rsidR="00595C56" w:rsidRPr="00595C56" w:rsidRDefault="00595C56" w:rsidP="00595C56">
    <w:pPr>
      <w:pStyle w:val="En-tte"/>
      <w:pBdr>
        <w:bottom w:val="single" w:sz="4" w:space="1" w:color="auto"/>
      </w:pBdr>
      <w:tabs>
        <w:tab w:val="clear" w:pos="4513"/>
        <w:tab w:val="clear" w:pos="9027"/>
      </w:tabs>
      <w:jc w:val="center"/>
    </w:pPr>
  </w:p>
  <w:p w:rsidR="00595C56" w:rsidRPr="00595C56" w:rsidRDefault="00595C56" w:rsidP="00595C56">
    <w:pPr>
      <w:pStyle w:val="En-tte"/>
      <w:pBdr>
        <w:bottom w:val="single" w:sz="4" w:space="1" w:color="auto"/>
      </w:pBdr>
      <w:tabs>
        <w:tab w:val="clear" w:pos="4513"/>
        <w:tab w:val="clear" w:pos="9027"/>
      </w:tabs>
      <w:jc w:val="center"/>
    </w:pPr>
    <w:r w:rsidRPr="00595C56">
      <w:t xml:space="preserve">- </w:t>
    </w:r>
    <w:r w:rsidRPr="00595C56">
      <w:fldChar w:fldCharType="begin"/>
    </w:r>
    <w:r w:rsidRPr="00595C56">
      <w:instrText xml:space="preserve"> PAGE </w:instrText>
    </w:r>
    <w:r w:rsidRPr="00595C56">
      <w:fldChar w:fldCharType="separate"/>
    </w:r>
    <w:r w:rsidRPr="00595C56">
      <w:rPr>
        <w:noProof/>
      </w:rPr>
      <w:t>1</w:t>
    </w:r>
    <w:r w:rsidRPr="00595C56">
      <w:fldChar w:fldCharType="end"/>
    </w:r>
    <w:r w:rsidRPr="00595C56">
      <w:t xml:space="preserve"> -</w:t>
    </w:r>
  </w:p>
  <w:p w:rsidR="009239F7" w:rsidRPr="00595C56" w:rsidRDefault="0094539F" w:rsidP="00595C56">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F684D" w:rsidTr="008612A9">
      <w:trPr>
        <w:trHeight w:val="240"/>
        <w:jc w:val="center"/>
      </w:trPr>
      <w:tc>
        <w:tcPr>
          <w:tcW w:w="3794" w:type="dxa"/>
          <w:shd w:val="clear" w:color="auto" w:fill="FFFFFF"/>
          <w:tcMar>
            <w:left w:w="108" w:type="dxa"/>
            <w:right w:w="108" w:type="dxa"/>
          </w:tcMar>
          <w:vAlign w:val="center"/>
        </w:tcPr>
        <w:p w:rsidR="00ED54E0" w:rsidRPr="009239F7" w:rsidRDefault="0094539F" w:rsidP="00B801E9">
          <w:pPr>
            <w:rPr>
              <w:noProof/>
              <w:lang w:eastAsia="en-GB"/>
            </w:rPr>
          </w:pPr>
          <w:bookmarkStart w:id="21" w:name="bmkRestricted" w:colFirst="1" w:colLast="1"/>
        </w:p>
      </w:tc>
      <w:tc>
        <w:tcPr>
          <w:tcW w:w="5448" w:type="dxa"/>
          <w:gridSpan w:val="2"/>
          <w:shd w:val="clear" w:color="auto" w:fill="FFFFFF"/>
          <w:tcMar>
            <w:left w:w="108" w:type="dxa"/>
            <w:right w:w="108" w:type="dxa"/>
          </w:tcMar>
          <w:vAlign w:val="center"/>
        </w:tcPr>
        <w:p w:rsidR="00ED54E0" w:rsidRPr="009239F7" w:rsidRDefault="00595C56" w:rsidP="00B801E9">
          <w:pPr>
            <w:jc w:val="right"/>
            <w:rPr>
              <w:b/>
              <w:color w:val="FF0000"/>
              <w:szCs w:val="16"/>
            </w:rPr>
          </w:pPr>
          <w:r>
            <w:rPr>
              <w:b/>
              <w:color w:val="FF0000"/>
              <w:szCs w:val="16"/>
            </w:rPr>
            <w:t xml:space="preserve"> </w:t>
          </w:r>
        </w:p>
      </w:tc>
    </w:tr>
    <w:bookmarkEnd w:id="21"/>
    <w:tr w:rsidR="00CF684D" w:rsidTr="008612A9">
      <w:trPr>
        <w:trHeight w:val="213"/>
        <w:jc w:val="center"/>
      </w:trPr>
      <w:tc>
        <w:tcPr>
          <w:tcW w:w="3794" w:type="dxa"/>
          <w:vMerge w:val="restart"/>
          <w:shd w:val="clear" w:color="auto" w:fill="FFFFFF"/>
          <w:tcMar>
            <w:left w:w="0" w:type="dxa"/>
            <w:right w:w="0" w:type="dxa"/>
          </w:tcMar>
        </w:tcPr>
        <w:p w:rsidR="00ED54E0" w:rsidRPr="009239F7" w:rsidRDefault="00352942" w:rsidP="00B801E9">
          <w:pPr>
            <w:jc w:val="left"/>
          </w:pPr>
          <w:r>
            <w:rPr>
              <w:noProof/>
              <w:lang w:val="fr-FR" w:eastAsia="fr-FR"/>
            </w:rPr>
            <w:drawing>
              <wp:inline distT="0" distB="0" distL="0" distR="0" wp14:anchorId="6D17AA90" wp14:editId="3FF74DD3">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94539F" w:rsidP="00B801E9">
          <w:pPr>
            <w:jc w:val="right"/>
            <w:rPr>
              <w:b/>
              <w:szCs w:val="16"/>
            </w:rPr>
          </w:pPr>
        </w:p>
      </w:tc>
    </w:tr>
    <w:tr w:rsidR="00CF684D" w:rsidTr="008612A9">
      <w:trPr>
        <w:trHeight w:val="868"/>
        <w:jc w:val="center"/>
      </w:trPr>
      <w:tc>
        <w:tcPr>
          <w:tcW w:w="3794" w:type="dxa"/>
          <w:vMerge/>
          <w:shd w:val="clear" w:color="auto" w:fill="FFFFFF"/>
          <w:tcMar>
            <w:left w:w="108" w:type="dxa"/>
            <w:right w:w="108" w:type="dxa"/>
          </w:tcMar>
        </w:tcPr>
        <w:p w:rsidR="00ED54E0" w:rsidRPr="009239F7" w:rsidRDefault="0094539F" w:rsidP="00B801E9">
          <w:pPr>
            <w:jc w:val="left"/>
            <w:rPr>
              <w:noProof/>
              <w:lang w:eastAsia="en-GB"/>
            </w:rPr>
          </w:pPr>
        </w:p>
      </w:tc>
      <w:tc>
        <w:tcPr>
          <w:tcW w:w="5448" w:type="dxa"/>
          <w:gridSpan w:val="2"/>
          <w:shd w:val="clear" w:color="auto" w:fill="FFFFFF"/>
          <w:tcMar>
            <w:left w:w="108" w:type="dxa"/>
            <w:right w:w="108" w:type="dxa"/>
          </w:tcMar>
        </w:tcPr>
        <w:p w:rsidR="00595C56" w:rsidRDefault="00595C56" w:rsidP="00B801E9">
          <w:pPr>
            <w:jc w:val="right"/>
            <w:rPr>
              <w:b/>
              <w:szCs w:val="16"/>
            </w:rPr>
          </w:pPr>
          <w:bookmarkStart w:id="22" w:name="bmkSymbols"/>
          <w:r>
            <w:rPr>
              <w:b/>
              <w:szCs w:val="16"/>
            </w:rPr>
            <w:t>G/TBT/N/UGA/760</w:t>
          </w:r>
        </w:p>
        <w:bookmarkEnd w:id="22"/>
        <w:p w:rsidR="00ED54E0" w:rsidRPr="009239F7" w:rsidRDefault="0094539F" w:rsidP="00B801E9">
          <w:pPr>
            <w:jc w:val="right"/>
            <w:rPr>
              <w:b/>
              <w:szCs w:val="16"/>
            </w:rPr>
          </w:pPr>
        </w:p>
      </w:tc>
    </w:tr>
    <w:tr w:rsidR="00CF684D" w:rsidTr="008612A9">
      <w:trPr>
        <w:trHeight w:val="240"/>
        <w:jc w:val="center"/>
      </w:trPr>
      <w:tc>
        <w:tcPr>
          <w:tcW w:w="3794" w:type="dxa"/>
          <w:vMerge/>
          <w:shd w:val="clear" w:color="auto" w:fill="FFFFFF"/>
          <w:tcMar>
            <w:left w:w="108" w:type="dxa"/>
            <w:right w:w="108" w:type="dxa"/>
          </w:tcMar>
          <w:vAlign w:val="center"/>
        </w:tcPr>
        <w:p w:rsidR="00ED54E0" w:rsidRPr="009239F7" w:rsidRDefault="0094539F" w:rsidP="00B801E9"/>
      </w:tc>
      <w:tc>
        <w:tcPr>
          <w:tcW w:w="5448" w:type="dxa"/>
          <w:gridSpan w:val="2"/>
          <w:shd w:val="clear" w:color="auto" w:fill="FFFFFF"/>
          <w:tcMar>
            <w:left w:w="108" w:type="dxa"/>
            <w:right w:w="108" w:type="dxa"/>
          </w:tcMar>
          <w:vAlign w:val="center"/>
        </w:tcPr>
        <w:p w:rsidR="00ED54E0" w:rsidRPr="009239F7" w:rsidRDefault="0094539F" w:rsidP="0094539F">
          <w:pPr>
            <w:jc w:val="right"/>
            <w:rPr>
              <w:szCs w:val="16"/>
            </w:rPr>
          </w:pPr>
          <w:bookmarkStart w:id="23" w:name="spsDateDistribution"/>
          <w:bookmarkStart w:id="24" w:name="bmkDate"/>
          <w:bookmarkEnd w:id="23"/>
          <w:bookmarkEnd w:id="24"/>
          <w:r>
            <w:rPr>
              <w:szCs w:val="16"/>
            </w:rPr>
            <w:t xml:space="preserve">3 October </w:t>
          </w:r>
          <w:r>
            <w:rPr>
              <w:szCs w:val="16"/>
            </w:rPr>
            <w:t>2017</w:t>
          </w:r>
          <w:bookmarkStart w:id="25" w:name="_GoBack"/>
          <w:bookmarkEnd w:id="25"/>
        </w:p>
      </w:tc>
    </w:tr>
    <w:tr w:rsidR="00CF684D"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595C56" w:rsidP="0097650D">
          <w:pPr>
            <w:jc w:val="left"/>
            <w:rPr>
              <w:b/>
            </w:rPr>
          </w:pPr>
          <w:bookmarkStart w:id="26" w:name="bmkSerial"/>
          <w:r w:rsidRPr="002F6A28">
            <w:rPr>
              <w:color w:val="FF0000"/>
              <w:szCs w:val="16"/>
            </w:rPr>
            <w:t>(</w:t>
          </w:r>
          <w:bookmarkStart w:id="27" w:name="spsSerialNumber"/>
          <w:bookmarkEnd w:id="27"/>
          <w:r w:rsidR="0094539F">
            <w:rPr>
              <w:color w:val="FF0000"/>
              <w:szCs w:val="16"/>
            </w:rPr>
            <w:t>17-5287</w:t>
          </w:r>
          <w:r w:rsidRPr="002F6A28">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9239F7" w:rsidRDefault="00595C56" w:rsidP="00B801E9">
          <w:pPr>
            <w:jc w:val="right"/>
            <w:rPr>
              <w:szCs w:val="16"/>
            </w:rPr>
          </w:pPr>
          <w:bookmarkStart w:id="2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94539F">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94539F">
            <w:rPr>
              <w:bCs/>
              <w:noProof/>
              <w:szCs w:val="16"/>
            </w:rPr>
            <w:t>1</w:t>
          </w:r>
          <w:r w:rsidRPr="002F6A28">
            <w:rPr>
              <w:bCs/>
              <w:szCs w:val="16"/>
            </w:rPr>
            <w:fldChar w:fldCharType="end"/>
          </w:r>
          <w:bookmarkEnd w:id="28"/>
        </w:p>
      </w:tc>
    </w:tr>
    <w:tr w:rsidR="00CF684D"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595C56" w:rsidP="00B801E9">
          <w:pPr>
            <w:jc w:val="left"/>
            <w:rPr>
              <w:sz w:val="14"/>
              <w:szCs w:val="16"/>
            </w:rPr>
          </w:pPr>
          <w:bookmarkStart w:id="29" w:name="bmkCommittee"/>
          <w:r>
            <w:rPr>
              <w:b/>
            </w:rPr>
            <w:t>Committee on Technical Barriers to Trade</w:t>
          </w:r>
          <w:bookmarkEnd w:id="29"/>
        </w:p>
      </w:tc>
      <w:tc>
        <w:tcPr>
          <w:tcW w:w="3325" w:type="dxa"/>
          <w:tcBorders>
            <w:top w:val="single" w:sz="4" w:space="0" w:color="auto"/>
          </w:tcBorders>
          <w:tcMar>
            <w:top w:w="113" w:type="dxa"/>
            <w:left w:w="108" w:type="dxa"/>
            <w:bottom w:w="57" w:type="dxa"/>
            <w:right w:w="108" w:type="dxa"/>
          </w:tcMar>
          <w:vAlign w:val="center"/>
        </w:tcPr>
        <w:p w:rsidR="00ED54E0" w:rsidRPr="002F6A28" w:rsidRDefault="00595C56" w:rsidP="00B801E9">
          <w:pPr>
            <w:jc w:val="right"/>
            <w:rPr>
              <w:bCs/>
              <w:szCs w:val="18"/>
            </w:rPr>
          </w:pPr>
          <w:bookmarkStart w:id="30" w:name="bmkLanguage"/>
          <w:r>
            <w:rPr>
              <w:bCs/>
              <w:szCs w:val="18"/>
            </w:rPr>
            <w:t>Original: English</w:t>
          </w:r>
          <w:bookmarkEnd w:id="30"/>
        </w:p>
      </w:tc>
    </w:tr>
  </w:tbl>
  <w:p w:rsidR="00ED54E0" w:rsidRPr="002F6A28" w:rsidRDefault="0094539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1C5C6710">
      <w:start w:val="1"/>
      <w:numFmt w:val="decimal"/>
      <w:pStyle w:val="SummaryText"/>
      <w:lvlText w:val="%1."/>
      <w:lvlJc w:val="left"/>
      <w:pPr>
        <w:ind w:left="360" w:hanging="360"/>
      </w:pPr>
    </w:lvl>
    <w:lvl w:ilvl="1" w:tplc="66AC5FFC" w:tentative="1">
      <w:start w:val="1"/>
      <w:numFmt w:val="lowerLetter"/>
      <w:lvlText w:val="%2."/>
      <w:lvlJc w:val="left"/>
      <w:pPr>
        <w:ind w:left="1080" w:hanging="360"/>
      </w:pPr>
    </w:lvl>
    <w:lvl w:ilvl="2" w:tplc="DFC420BA" w:tentative="1">
      <w:start w:val="1"/>
      <w:numFmt w:val="lowerRoman"/>
      <w:lvlText w:val="%3."/>
      <w:lvlJc w:val="right"/>
      <w:pPr>
        <w:ind w:left="1800" w:hanging="180"/>
      </w:pPr>
    </w:lvl>
    <w:lvl w:ilvl="3" w:tplc="ECA03C86" w:tentative="1">
      <w:start w:val="1"/>
      <w:numFmt w:val="decimal"/>
      <w:lvlText w:val="%4."/>
      <w:lvlJc w:val="left"/>
      <w:pPr>
        <w:ind w:left="2520" w:hanging="360"/>
      </w:pPr>
    </w:lvl>
    <w:lvl w:ilvl="4" w:tplc="49106058" w:tentative="1">
      <w:start w:val="1"/>
      <w:numFmt w:val="lowerLetter"/>
      <w:lvlText w:val="%5."/>
      <w:lvlJc w:val="left"/>
      <w:pPr>
        <w:ind w:left="3240" w:hanging="360"/>
      </w:pPr>
    </w:lvl>
    <w:lvl w:ilvl="5" w:tplc="8D6AC6BE" w:tentative="1">
      <w:start w:val="1"/>
      <w:numFmt w:val="lowerRoman"/>
      <w:lvlText w:val="%6."/>
      <w:lvlJc w:val="right"/>
      <w:pPr>
        <w:ind w:left="3960" w:hanging="180"/>
      </w:pPr>
    </w:lvl>
    <w:lvl w:ilvl="6" w:tplc="F84E6526" w:tentative="1">
      <w:start w:val="1"/>
      <w:numFmt w:val="decimal"/>
      <w:lvlText w:val="%7."/>
      <w:lvlJc w:val="left"/>
      <w:pPr>
        <w:ind w:left="4680" w:hanging="360"/>
      </w:pPr>
    </w:lvl>
    <w:lvl w:ilvl="7" w:tplc="E29E7D8C" w:tentative="1">
      <w:start w:val="1"/>
      <w:numFmt w:val="lowerLetter"/>
      <w:lvlText w:val="%8."/>
      <w:lvlJc w:val="left"/>
      <w:pPr>
        <w:ind w:left="5400" w:hanging="360"/>
      </w:pPr>
    </w:lvl>
    <w:lvl w:ilvl="8" w:tplc="0A78DEB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4D"/>
    <w:rsid w:val="00352942"/>
    <w:rsid w:val="00493421"/>
    <w:rsid w:val="00595C56"/>
    <w:rsid w:val="0094539F"/>
    <w:rsid w:val="00984FC4"/>
    <w:rsid w:val="00CF6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Greenleaves Navarro, Jane</dc:creator>
  <dc:description>LDIMD - DTU</dc:description>
  <cp:lastModifiedBy>Laverrière, Chantal</cp:lastModifiedBy>
  <cp:revision>5</cp:revision>
  <cp:lastPrinted>2017-10-03T08:04:00Z</cp:lastPrinted>
  <dcterms:created xsi:type="dcterms:W3CDTF">2017-10-02T13:14:00Z</dcterms:created>
  <dcterms:modified xsi:type="dcterms:W3CDTF">2017-10-03T08:56:00Z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G/TBT/N/UGA/760</vt:lpwstr>
  </property>
</Properties>
</file>