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352E3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352E35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51C64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the State of Kuwait</w:t>
            </w:r>
            <w:bookmarkEnd w:id="1"/>
            <w:r w:rsidRPr="002F6A28">
              <w:t xml:space="preserve"> </w:t>
            </w:r>
          </w:p>
          <w:p w:rsidR="00F85C99" w:rsidRPr="002F6A28" w:rsidRDefault="00352E3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51C6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Kuwait Standards &amp; Metrology Department (KOWSMD)</w:t>
            </w:r>
            <w:bookmarkEnd w:id="5"/>
          </w:p>
          <w:p w:rsidR="00F85C99" w:rsidRPr="002F6A28" w:rsidRDefault="00352E3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F51C64" w:rsidRPr="002F6A28" w:rsidRDefault="00352E35" w:rsidP="00AA646C">
            <w:r w:rsidRPr="002F6A28">
              <w:t>Public Authority for Industry (PAI)</w:t>
            </w:r>
          </w:p>
          <w:p w:rsidR="00F51C64" w:rsidRPr="002F6A28" w:rsidRDefault="00352E35" w:rsidP="00AA646C">
            <w:r w:rsidRPr="002F6A28">
              <w:t>P.O. BOX: 4690, Safat</w:t>
            </w:r>
          </w:p>
          <w:p w:rsidR="00F51C64" w:rsidRPr="002F6A28" w:rsidRDefault="00352E35" w:rsidP="00AA646C">
            <w:r w:rsidRPr="002F6A28">
              <w:t>13047 Kuwait</w:t>
            </w:r>
          </w:p>
          <w:p w:rsidR="00F51C64" w:rsidRPr="002F6A28" w:rsidRDefault="00352E35" w:rsidP="00AA646C">
            <w:r w:rsidRPr="002F6A28">
              <w:t>Tel.: +965 253 02 630</w:t>
            </w:r>
          </w:p>
          <w:p w:rsidR="00F51C64" w:rsidRPr="00352E35" w:rsidRDefault="00352E35" w:rsidP="00AA646C">
            <w:pPr>
              <w:rPr>
                <w:lang w:val="fr-CH"/>
              </w:rPr>
            </w:pPr>
            <w:proofErr w:type="gramStart"/>
            <w:r w:rsidRPr="00352E35">
              <w:rPr>
                <w:lang w:val="fr-CH"/>
              </w:rPr>
              <w:t>Fax:</w:t>
            </w:r>
            <w:proofErr w:type="gramEnd"/>
            <w:r w:rsidRPr="00352E35">
              <w:rPr>
                <w:lang w:val="fr-CH"/>
              </w:rPr>
              <w:t xml:space="preserve"> +965 253 02 625</w:t>
            </w:r>
          </w:p>
          <w:p w:rsidR="00F51C64" w:rsidRPr="00352E35" w:rsidRDefault="00352E35" w:rsidP="00AA646C">
            <w:pPr>
              <w:rPr>
                <w:lang w:val="fr-CH"/>
              </w:rPr>
            </w:pPr>
            <w:proofErr w:type="gramStart"/>
            <w:r w:rsidRPr="00352E35">
              <w:rPr>
                <w:lang w:val="fr-CH"/>
              </w:rPr>
              <w:t>E-mail:</w:t>
            </w:r>
            <w:proofErr w:type="gramEnd"/>
            <w:r w:rsidRPr="00352E35">
              <w:rPr>
                <w:lang w:val="fr-CH"/>
              </w:rPr>
              <w:t xml:space="preserve"> </w:t>
            </w:r>
            <w:hyperlink r:id="rId7" w:history="1">
              <w:r w:rsidRPr="00060743">
                <w:rPr>
                  <w:rStyle w:val="Lienhypertexte"/>
                  <w:lang w:val="fr-CH"/>
                </w:rPr>
                <w:t>mailto:Enquiry_point@pai.gov.kw</w:t>
              </w:r>
            </w:hyperlink>
            <w:r>
              <w:rPr>
                <w:lang w:val="fr-CH"/>
              </w:rPr>
              <w:t xml:space="preserve"> </w:t>
            </w:r>
          </w:p>
          <w:p w:rsidR="00F51C64" w:rsidRPr="002F6A28" w:rsidRDefault="00352E35" w:rsidP="00AA646C">
            <w:pPr>
              <w:spacing w:after="120"/>
            </w:pPr>
            <w:r w:rsidRPr="002F6A28"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http://www.pai.gov.kw</w:t>
              </w:r>
            </w:hyperlink>
            <w:bookmarkEnd w:id="7"/>
          </w:p>
        </w:tc>
      </w:tr>
      <w:tr w:rsidR="00F51C6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352E3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End w:id="16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7" w:name="tbt3e"/>
            <w:bookmarkEnd w:id="17"/>
          </w:p>
        </w:tc>
      </w:tr>
      <w:tr w:rsidR="00F51C6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</w:pPr>
            <w:bookmarkStart w:id="18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8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9" w:name="sps3a"/>
            <w:r w:rsidRPr="002F6A28">
              <w:rPr>
                <w:bCs/>
              </w:rPr>
              <w:t xml:space="preserve">All products fall under scope of KWS GSO IEC 60598-2-22:2019 Luminaires - Part 2-22: </w:t>
            </w:r>
            <w:proofErr w:type="gramStart"/>
            <w:r w:rsidRPr="002F6A28">
              <w:rPr>
                <w:bCs/>
              </w:rPr>
              <w:t>Particular requirements</w:t>
            </w:r>
            <w:proofErr w:type="gramEnd"/>
            <w:r w:rsidRPr="002F6A28">
              <w:rPr>
                <w:bCs/>
              </w:rPr>
              <w:t xml:space="preserve"> - Luminaires for emergency lighting ICS 29.140.40</w:t>
            </w:r>
            <w:bookmarkEnd w:id="19"/>
          </w:p>
        </w:tc>
      </w:tr>
      <w:tr w:rsidR="00F51C6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</w:pPr>
            <w:bookmarkStart w:id="20" w:name="X_TBT_Reg_5A"/>
            <w:r w:rsidRPr="002F6A28">
              <w:rPr>
                <w:b/>
              </w:rPr>
              <w:t>Title, number of pages and language(s) of the notified document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5a"/>
            <w:r w:rsidRPr="002F6A28">
              <w:t>Luminaires - Part 2-22: Particular requirements - Luminaires for emergency lighting</w:t>
            </w:r>
            <w:bookmarkStart w:id="22" w:name="sps5c"/>
            <w:bookmarkStart w:id="23" w:name="sps5b"/>
            <w:bookmarkEnd w:id="21"/>
            <w:bookmarkEnd w:id="22"/>
            <w:bookmarkEnd w:id="23"/>
          </w:p>
        </w:tc>
      </w:tr>
      <w:tr w:rsidR="00F51C6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Pr="002F6A28">
              <w:t>Specifies requirements for emergency luminaires for use with electrical lamps on emergency power supplies not exceeding 1 000 V. This fourth edition cancels and replaces the third edition published in 1997, AMD1:2002 and AMD2:2008. This edition constitutes a technical revision.</w:t>
            </w:r>
            <w:bookmarkEnd w:id="25"/>
          </w:p>
        </w:tc>
      </w:tr>
      <w:tr w:rsidR="00F51C6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Pr="002F6A28">
              <w:t>Protection of human health or safety</w:t>
            </w:r>
            <w:bookmarkEnd w:id="27"/>
          </w:p>
        </w:tc>
      </w:tr>
      <w:tr w:rsidR="00F51C6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352E35" w:rsidP="008953C4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F51C64" w:rsidRPr="002F6A28" w:rsidRDefault="00352E35" w:rsidP="008953C4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IEC 60598-2-22:2014+AMD1:2017 CSV</w:t>
            </w:r>
          </w:p>
        </w:tc>
      </w:tr>
      <w:tr w:rsidR="00F51C64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352E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352E3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r w:rsidRPr="002F6A28">
              <w:t>3 March 2019</w:t>
            </w:r>
            <w:bookmarkStart w:id="31" w:name="sps10b"/>
            <w:bookmarkEnd w:id="30"/>
            <w:bookmarkEnd w:id="31"/>
          </w:p>
          <w:p w:rsidR="00EE3A11" w:rsidRPr="002F6A28" w:rsidRDefault="00352E3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r w:rsidRPr="002F6A28">
              <w:t>1 September 2019</w:t>
            </w:r>
            <w:bookmarkStart w:id="34" w:name="sps11b"/>
            <w:bookmarkEnd w:id="33"/>
            <w:bookmarkEnd w:id="34"/>
          </w:p>
        </w:tc>
      </w:tr>
      <w:tr w:rsidR="00F51C64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52E3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6" w:name="sps12a"/>
            <w:r w:rsidRPr="002F6A28">
              <w:rPr>
                <w:bCs/>
              </w:rPr>
              <w:t>60 days from notification</w:t>
            </w:r>
            <w:bookmarkEnd w:id="36"/>
          </w:p>
        </w:tc>
      </w:tr>
      <w:tr w:rsidR="00F51C64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352E3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352E3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:rsidR="00F51C64" w:rsidRPr="002F6A28" w:rsidRDefault="00352E35" w:rsidP="00B16145">
            <w:pPr>
              <w:keepNext/>
              <w:keepLines/>
            </w:pPr>
            <w:r w:rsidRPr="002F6A28">
              <w:t>Public Authority for Industry (PAI)</w:t>
            </w:r>
          </w:p>
          <w:p w:rsidR="00F51C64" w:rsidRPr="002F6A28" w:rsidRDefault="00352E35" w:rsidP="00B16145">
            <w:pPr>
              <w:keepNext/>
              <w:keepLines/>
            </w:pPr>
            <w:r w:rsidRPr="002F6A28">
              <w:t>P.O. BOX: 4690, Safat</w:t>
            </w:r>
          </w:p>
          <w:p w:rsidR="00F51C64" w:rsidRPr="002F6A28" w:rsidRDefault="00352E35" w:rsidP="00B16145">
            <w:pPr>
              <w:keepNext/>
              <w:keepLines/>
            </w:pPr>
            <w:r w:rsidRPr="002F6A28">
              <w:t>13047 Kuwait</w:t>
            </w:r>
          </w:p>
          <w:p w:rsidR="00F51C64" w:rsidRPr="002F6A28" w:rsidRDefault="00352E35" w:rsidP="00B16145">
            <w:pPr>
              <w:keepNext/>
              <w:keepLines/>
            </w:pPr>
            <w:r w:rsidRPr="002F6A28">
              <w:t>Tel.: +965 253 02 630</w:t>
            </w:r>
          </w:p>
          <w:p w:rsidR="00F51C64" w:rsidRPr="00352E35" w:rsidRDefault="00352E35" w:rsidP="00B16145">
            <w:pPr>
              <w:keepNext/>
              <w:keepLines/>
              <w:rPr>
                <w:lang w:val="fr-CH"/>
              </w:rPr>
            </w:pPr>
            <w:proofErr w:type="gramStart"/>
            <w:r w:rsidRPr="00352E35">
              <w:rPr>
                <w:lang w:val="fr-CH"/>
              </w:rPr>
              <w:t>Fax:</w:t>
            </w:r>
            <w:proofErr w:type="gramEnd"/>
            <w:r w:rsidRPr="00352E35">
              <w:rPr>
                <w:lang w:val="fr-CH"/>
              </w:rPr>
              <w:t xml:space="preserve"> +965 253 02 625</w:t>
            </w:r>
          </w:p>
          <w:p w:rsidR="00F51C64" w:rsidRPr="00352E35" w:rsidRDefault="00352E35" w:rsidP="00B16145">
            <w:pPr>
              <w:keepNext/>
              <w:keepLines/>
              <w:rPr>
                <w:lang w:val="fr-CH"/>
              </w:rPr>
            </w:pPr>
            <w:r w:rsidRPr="00352E35">
              <w:rPr>
                <w:lang w:val="fr-CH"/>
              </w:rPr>
              <w:t xml:space="preserve">E-mail: </w:t>
            </w:r>
            <w:hyperlink r:id="rId9" w:history="1">
              <w:r w:rsidRPr="00060743">
                <w:rPr>
                  <w:rStyle w:val="Lienhypertexte"/>
                  <w:lang w:val="fr-CH"/>
                </w:rPr>
                <w:t>mailto:Enquiry_point@pai.gov.kw</w:t>
              </w:r>
            </w:hyperlink>
            <w:r>
              <w:rPr>
                <w:lang w:val="fr-CH"/>
              </w:rPr>
              <w:t xml:space="preserve"> </w:t>
            </w:r>
          </w:p>
          <w:p w:rsidR="00F51C64" w:rsidRPr="002F6A28" w:rsidRDefault="00352E35" w:rsidP="00B16145">
            <w:pPr>
              <w:keepNext/>
              <w:keepLines/>
              <w:spacing w:after="120"/>
            </w:pPr>
            <w:r w:rsidRPr="002F6A28"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http://www.pai.gov.kw</w:t>
              </w:r>
            </w:hyperlink>
            <w:bookmarkEnd w:id="40"/>
          </w:p>
        </w:tc>
      </w:tr>
    </w:tbl>
    <w:p w:rsidR="00EE3A11" w:rsidRPr="002F6A28" w:rsidRDefault="00EE3A11" w:rsidP="002F6A28"/>
    <w:sectPr w:rsidR="00EE3A11" w:rsidRPr="002F6A28" w:rsidSect="00352E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E4C" w:rsidRDefault="00352E35">
      <w:r>
        <w:separator/>
      </w:r>
    </w:p>
  </w:endnote>
  <w:endnote w:type="continuationSeparator" w:id="0">
    <w:p w:rsidR="00632E4C" w:rsidRDefault="0035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352E35" w:rsidRDefault="00352E35" w:rsidP="00352E3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352E35" w:rsidRDefault="00352E35" w:rsidP="00352E3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352E3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E4C" w:rsidRDefault="00352E35">
      <w:r>
        <w:separator/>
      </w:r>
    </w:p>
  </w:footnote>
  <w:footnote w:type="continuationSeparator" w:id="0">
    <w:p w:rsidR="00632E4C" w:rsidRDefault="00352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35" w:rsidRPr="00352E35" w:rsidRDefault="00352E35" w:rsidP="00352E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2E35">
      <w:t>G/TBT/N/KWT/475</w:t>
    </w:r>
  </w:p>
  <w:p w:rsidR="00352E35" w:rsidRPr="00352E35" w:rsidRDefault="00352E35" w:rsidP="00352E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52E35" w:rsidRPr="00352E35" w:rsidRDefault="00352E35" w:rsidP="00352E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2E35">
      <w:t xml:space="preserve">- </w:t>
    </w:r>
    <w:r w:rsidRPr="00352E35">
      <w:fldChar w:fldCharType="begin"/>
    </w:r>
    <w:r w:rsidRPr="00352E35">
      <w:instrText xml:space="preserve"> PAGE </w:instrText>
    </w:r>
    <w:r w:rsidRPr="00352E35">
      <w:fldChar w:fldCharType="separate"/>
    </w:r>
    <w:r w:rsidR="00E334E1">
      <w:rPr>
        <w:noProof/>
      </w:rPr>
      <w:t>2</w:t>
    </w:r>
    <w:r w:rsidRPr="00352E35">
      <w:fldChar w:fldCharType="end"/>
    </w:r>
    <w:r w:rsidRPr="00352E35">
      <w:t xml:space="preserve"> -</w:t>
    </w:r>
  </w:p>
  <w:p w:rsidR="009239F7" w:rsidRPr="00352E35" w:rsidRDefault="009239F7" w:rsidP="00352E3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35" w:rsidRPr="00352E35" w:rsidRDefault="00352E35" w:rsidP="00352E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2E35">
      <w:t>G/TBT/N/KWT/475</w:t>
    </w:r>
  </w:p>
  <w:p w:rsidR="00352E35" w:rsidRPr="00352E35" w:rsidRDefault="00352E35" w:rsidP="00352E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52E35" w:rsidRPr="00352E35" w:rsidRDefault="00352E35" w:rsidP="00352E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52E35">
      <w:t xml:space="preserve">- </w:t>
    </w:r>
    <w:r w:rsidRPr="00352E35">
      <w:fldChar w:fldCharType="begin"/>
    </w:r>
    <w:r w:rsidRPr="00352E35">
      <w:instrText xml:space="preserve"> PAGE </w:instrText>
    </w:r>
    <w:r w:rsidRPr="00352E35">
      <w:fldChar w:fldCharType="separate"/>
    </w:r>
    <w:r w:rsidRPr="00352E35">
      <w:rPr>
        <w:noProof/>
      </w:rPr>
      <w:t>2</w:t>
    </w:r>
    <w:r w:rsidRPr="00352E35">
      <w:fldChar w:fldCharType="end"/>
    </w:r>
    <w:r w:rsidRPr="00352E35">
      <w:t xml:space="preserve"> -</w:t>
    </w:r>
  </w:p>
  <w:p w:rsidR="009239F7" w:rsidRPr="00352E35" w:rsidRDefault="009239F7" w:rsidP="00352E3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1C64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352E35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F51C64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6722C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51C64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52E35" w:rsidRDefault="00352E35" w:rsidP="00B801E9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G/TBT/N/KWT/475</w:t>
          </w:r>
        </w:p>
        <w:bookmarkEnd w:id="42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F51C64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334E1" w:rsidP="00B801E9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 xml:space="preserve">4 March </w:t>
          </w:r>
          <w:r>
            <w:rPr>
              <w:szCs w:val="16"/>
            </w:rPr>
            <w:t>2019</w:t>
          </w:r>
          <w:bookmarkStart w:id="45" w:name="_GoBack"/>
          <w:bookmarkEnd w:id="45"/>
        </w:p>
      </w:tc>
    </w:tr>
    <w:tr w:rsidR="00F51C64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352E3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E334E1">
            <w:rPr>
              <w:color w:val="FF0000"/>
              <w:szCs w:val="16"/>
            </w:rPr>
            <w:t>19-1241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352E3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E334E1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E334E1">
            <w:rPr>
              <w:bCs/>
              <w:noProof/>
              <w:szCs w:val="16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51C64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352E35" w:rsidP="00B801E9">
          <w:pPr>
            <w:jc w:val="left"/>
            <w:rPr>
              <w:sz w:val="14"/>
              <w:szCs w:val="16"/>
            </w:rPr>
          </w:pPr>
          <w:bookmarkStart w:id="49" w:name="bmkCommittee"/>
          <w:r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352E35" w:rsidP="00B801E9">
          <w:pPr>
            <w:jc w:val="right"/>
            <w:rPr>
              <w:bCs/>
              <w:szCs w:val="18"/>
            </w:rPr>
          </w:pPr>
          <w:bookmarkStart w:id="50" w:name="bmkLanguage"/>
          <w:r>
            <w:rPr>
              <w:bCs/>
              <w:szCs w:val="18"/>
            </w:rPr>
            <w:t>Original: English</w:t>
          </w:r>
          <w:bookmarkEnd w:id="50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F509A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36642E0" w:tentative="1">
      <w:start w:val="1"/>
      <w:numFmt w:val="lowerLetter"/>
      <w:lvlText w:val="%2."/>
      <w:lvlJc w:val="left"/>
      <w:pPr>
        <w:ind w:left="1080" w:hanging="360"/>
      </w:pPr>
    </w:lvl>
    <w:lvl w:ilvl="2" w:tplc="D7A805AA" w:tentative="1">
      <w:start w:val="1"/>
      <w:numFmt w:val="lowerRoman"/>
      <w:lvlText w:val="%3."/>
      <w:lvlJc w:val="right"/>
      <w:pPr>
        <w:ind w:left="1800" w:hanging="180"/>
      </w:pPr>
    </w:lvl>
    <w:lvl w:ilvl="3" w:tplc="9ACE7726" w:tentative="1">
      <w:start w:val="1"/>
      <w:numFmt w:val="decimal"/>
      <w:lvlText w:val="%4."/>
      <w:lvlJc w:val="left"/>
      <w:pPr>
        <w:ind w:left="2520" w:hanging="360"/>
      </w:pPr>
    </w:lvl>
    <w:lvl w:ilvl="4" w:tplc="4DBA2CE0" w:tentative="1">
      <w:start w:val="1"/>
      <w:numFmt w:val="lowerLetter"/>
      <w:lvlText w:val="%5."/>
      <w:lvlJc w:val="left"/>
      <w:pPr>
        <w:ind w:left="3240" w:hanging="360"/>
      </w:pPr>
    </w:lvl>
    <w:lvl w:ilvl="5" w:tplc="F3A6E9E2" w:tentative="1">
      <w:start w:val="1"/>
      <w:numFmt w:val="lowerRoman"/>
      <w:lvlText w:val="%6."/>
      <w:lvlJc w:val="right"/>
      <w:pPr>
        <w:ind w:left="3960" w:hanging="180"/>
      </w:pPr>
    </w:lvl>
    <w:lvl w:ilvl="6" w:tplc="333A9440" w:tentative="1">
      <w:start w:val="1"/>
      <w:numFmt w:val="decimal"/>
      <w:lvlText w:val="%7."/>
      <w:lvlJc w:val="left"/>
      <w:pPr>
        <w:ind w:left="4680" w:hanging="360"/>
      </w:pPr>
    </w:lvl>
    <w:lvl w:ilvl="7" w:tplc="C5F28BC8" w:tentative="1">
      <w:start w:val="1"/>
      <w:numFmt w:val="lowerLetter"/>
      <w:lvlText w:val="%8."/>
      <w:lvlJc w:val="left"/>
      <w:pPr>
        <w:ind w:left="5400" w:hanging="360"/>
      </w:pPr>
    </w:lvl>
    <w:lvl w:ilvl="8" w:tplc="E2BE1A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54418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F0B3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067D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22E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942E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D08D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2451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F2A3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966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2E35"/>
    <w:rsid w:val="003572B4"/>
    <w:rsid w:val="00381B96"/>
    <w:rsid w:val="00383F7A"/>
    <w:rsid w:val="00396AF4"/>
    <w:rsid w:val="003B2BBF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2E4C"/>
    <w:rsid w:val="00643C1F"/>
    <w:rsid w:val="00655881"/>
    <w:rsid w:val="0066043C"/>
    <w:rsid w:val="006607BC"/>
    <w:rsid w:val="006722C9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D1FF8"/>
    <w:rsid w:val="009F1F2F"/>
    <w:rsid w:val="00A6057A"/>
    <w:rsid w:val="00A71BE1"/>
    <w:rsid w:val="00A74017"/>
    <w:rsid w:val="00A9543B"/>
    <w:rsid w:val="00AA332C"/>
    <w:rsid w:val="00AA4D5C"/>
    <w:rsid w:val="00AA646C"/>
    <w:rsid w:val="00AB0E5D"/>
    <w:rsid w:val="00AC27F8"/>
    <w:rsid w:val="00AC6C6E"/>
    <w:rsid w:val="00AD4C72"/>
    <w:rsid w:val="00AE2AEE"/>
    <w:rsid w:val="00AE6CC8"/>
    <w:rsid w:val="00B00276"/>
    <w:rsid w:val="00B16145"/>
    <w:rsid w:val="00B230EC"/>
    <w:rsid w:val="00B52738"/>
    <w:rsid w:val="00B55105"/>
    <w:rsid w:val="00B56EDC"/>
    <w:rsid w:val="00B57342"/>
    <w:rsid w:val="00B6007A"/>
    <w:rsid w:val="00B801E9"/>
    <w:rsid w:val="00BB0455"/>
    <w:rsid w:val="00BB1F84"/>
    <w:rsid w:val="00BE5468"/>
    <w:rsid w:val="00BF59EC"/>
    <w:rsid w:val="00C11EAC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34E1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1C64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E01788"/>
  <w15:docId w15:val="{02702B12-F1EF-45F0-9D53-E58D443A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Emphase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Emphasepl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pl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352E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i.gov.k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_point@pai.gov.k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ai.gov.k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y_point@pai.gov.kw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4</cp:revision>
  <dcterms:created xsi:type="dcterms:W3CDTF">2019-03-04T13:05:00Z</dcterms:created>
  <dcterms:modified xsi:type="dcterms:W3CDTF">2019-03-04T13:45:00Z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G/TBT/N/KWT/475</vt:lpwstr>
  </property>
</Properties>
</file>