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AD297C" w:rsidP="002F6A28">
      <w:pPr>
        <w:pStyle w:val="Title"/>
        <w:rPr>
          <w:caps w:val="0"/>
          <w:kern w:val="0"/>
        </w:rPr>
      </w:pPr>
      <w:bookmarkStart w:id="0" w:name="_GoBack"/>
      <w:bookmarkEnd w:id="0"/>
      <w:r w:rsidRPr="002F6A28">
        <w:rPr>
          <w:caps w:val="0"/>
          <w:kern w:val="0"/>
        </w:rPr>
        <w:t>NOTIFICATION</w:t>
      </w:r>
    </w:p>
    <w:p w:rsidR="009239F7" w:rsidRPr="002F6A28" w:rsidRDefault="00AD297C"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990063" w:rsidTr="0069259F">
        <w:tc>
          <w:tcPr>
            <w:tcW w:w="713" w:type="dxa"/>
            <w:tcBorders>
              <w:bottom w:val="single" w:sz="6" w:space="0" w:color="auto"/>
            </w:tcBorders>
            <w:shd w:val="clear" w:color="auto" w:fill="auto"/>
          </w:tcPr>
          <w:p w:rsidR="00F85C99" w:rsidRPr="002F6A28" w:rsidRDefault="00AD297C"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AD297C" w:rsidP="00C805B6">
            <w:pPr>
              <w:spacing w:before="120" w:after="120"/>
            </w:pPr>
            <w:bookmarkStart w:id="1" w:name="X_TBT_Reg_1A"/>
            <w:r w:rsidRPr="002F6A28">
              <w:rPr>
                <w:b/>
              </w:rPr>
              <w:t>Notifying Member</w:t>
            </w:r>
            <w:bookmarkEnd w:id="1"/>
            <w:r w:rsidRPr="002F6A28">
              <w:rPr>
                <w:b/>
              </w:rPr>
              <w:t>:</w:t>
            </w:r>
            <w:r w:rsidR="00EE3A11" w:rsidRPr="00C379C8">
              <w:t xml:space="preserve"> </w:t>
            </w:r>
            <w:bookmarkStart w:id="2" w:name="sps1a"/>
            <w:r w:rsidR="002F6A28" w:rsidRPr="00812D1D">
              <w:rPr>
                <w:caps/>
                <w:u w:val="single"/>
              </w:rPr>
              <w:t>Canada</w:t>
            </w:r>
            <w:bookmarkEnd w:id="2"/>
            <w:r w:rsidRPr="002F6A28">
              <w:t xml:space="preserve"> </w:t>
            </w:r>
          </w:p>
          <w:p w:rsidR="00F85C99" w:rsidRPr="002F6A28" w:rsidRDefault="00AD297C" w:rsidP="002F6A28">
            <w:pPr>
              <w:spacing w:after="120"/>
            </w:pPr>
            <w:bookmarkStart w:id="3" w:name="X_TBT_Reg_1B"/>
            <w:r w:rsidRPr="002F6A28">
              <w:rPr>
                <w:b/>
              </w:rPr>
              <w:t>If applicable, name of local government involved (Article 3.2 and 7.2)</w:t>
            </w:r>
            <w:bookmarkEnd w:id="3"/>
            <w:r w:rsidRPr="002F6A28">
              <w:rPr>
                <w:b/>
              </w:rPr>
              <w:t>:</w:t>
            </w:r>
            <w:r w:rsidR="00EE3A11" w:rsidRPr="00C379C8">
              <w:t xml:space="preserve"> </w:t>
            </w:r>
            <w:bookmarkStart w:id="4" w:name="sps1b"/>
            <w:bookmarkEnd w:id="4"/>
          </w:p>
        </w:tc>
      </w:tr>
      <w:tr w:rsidR="00990063" w:rsidTr="0069259F">
        <w:tc>
          <w:tcPr>
            <w:tcW w:w="713" w:type="dxa"/>
            <w:tcBorders>
              <w:top w:val="single" w:sz="6" w:space="0" w:color="auto"/>
              <w:bottom w:val="single" w:sz="6" w:space="0" w:color="auto"/>
            </w:tcBorders>
            <w:shd w:val="clear" w:color="auto" w:fill="auto"/>
          </w:tcPr>
          <w:p w:rsidR="00F85C99" w:rsidRPr="002F6A28" w:rsidRDefault="00AD297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AD297C" w:rsidP="00155128">
            <w:pPr>
              <w:spacing w:before="120" w:after="120"/>
            </w:pPr>
            <w:bookmarkStart w:id="5" w:name="X_TBT_Reg_2A"/>
            <w:r w:rsidRPr="002F6A28">
              <w:rPr>
                <w:b/>
              </w:rPr>
              <w:t>Agency responsible</w:t>
            </w:r>
            <w:bookmarkEnd w:id="5"/>
            <w:r w:rsidRPr="002F6A28">
              <w:rPr>
                <w:b/>
              </w:rPr>
              <w:t>:</w:t>
            </w:r>
            <w:r w:rsidR="00EE3A11" w:rsidRPr="00C379C8">
              <w:t xml:space="preserve"> </w:t>
            </w:r>
            <w:bookmarkStart w:id="6" w:name="sps2a"/>
            <w:r w:rsidRPr="002F6A28">
              <w:t xml:space="preserve">Department of Health and Department of the Environment and Climate Change </w:t>
            </w:r>
            <w:bookmarkEnd w:id="6"/>
          </w:p>
          <w:p w:rsidR="00F85C99" w:rsidRPr="002F6A28" w:rsidRDefault="00AD297C" w:rsidP="00AA646C">
            <w:pPr>
              <w:spacing w:after="120"/>
            </w:pPr>
            <w:bookmarkStart w:id="7"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7"/>
            <w:r w:rsidRPr="002F6A28">
              <w:rPr>
                <w:b/>
              </w:rPr>
              <w:t>:</w:t>
            </w:r>
            <w:r w:rsidR="00AC6C6E" w:rsidRPr="00C379C8">
              <w:t xml:space="preserve"> </w:t>
            </w:r>
            <w:bookmarkStart w:id="8" w:name="sps4a"/>
          </w:p>
          <w:p w:rsidR="007F5E6C" w:rsidRPr="002F6A28" w:rsidRDefault="00AD297C" w:rsidP="00AA646C">
            <w:pPr>
              <w:spacing w:after="120"/>
              <w:jc w:val="left"/>
            </w:pPr>
            <w:r w:rsidRPr="002F6A28">
              <w:t>Canada's Notification Authority and Enquiry Point</w:t>
            </w:r>
            <w:r w:rsidRPr="002F6A28">
              <w:br/>
              <w:t xml:space="preserve">Global Affairs Canada </w:t>
            </w:r>
            <w:r w:rsidRPr="002F6A28">
              <w:br/>
              <w:t xml:space="preserve">Technical Barriers and Regulations Division </w:t>
            </w:r>
            <w:r w:rsidRPr="002F6A28">
              <w:br/>
              <w:t>111 Sussex Drive, Ottawa, ON K1A 0G2</w:t>
            </w:r>
            <w:r w:rsidRPr="002F6A28">
              <w:br/>
              <w:t>Canada</w:t>
            </w:r>
            <w:r w:rsidRPr="002F6A28">
              <w:br/>
              <w:t>Telephone: (343) 203-4273</w:t>
            </w:r>
            <w:r w:rsidRPr="002F6A28">
              <w:br/>
              <w:t>Fax: (613) 943-0346</w:t>
            </w:r>
            <w:r w:rsidRPr="002F6A28">
              <w:br/>
              <w:t xml:space="preserve">E-mail: </w:t>
            </w:r>
            <w:hyperlink r:id="rId7" w:history="1">
              <w:r w:rsidRPr="002F6A28">
                <w:rPr>
                  <w:color w:val="0000FF"/>
                  <w:u w:val="single"/>
                </w:rPr>
                <w:t>enquirypoint@international.gc.ca</w:t>
              </w:r>
            </w:hyperlink>
            <w:r w:rsidRPr="002F6A28">
              <w:t xml:space="preserve"> </w:t>
            </w:r>
            <w:bookmarkEnd w:id="8"/>
          </w:p>
        </w:tc>
      </w:tr>
      <w:tr w:rsidR="00990063" w:rsidTr="0069259F">
        <w:tc>
          <w:tcPr>
            <w:tcW w:w="713" w:type="dxa"/>
            <w:tcBorders>
              <w:top w:val="single" w:sz="6" w:space="0" w:color="auto"/>
              <w:bottom w:val="single" w:sz="6" w:space="0" w:color="auto"/>
            </w:tcBorders>
            <w:shd w:val="clear" w:color="auto" w:fill="auto"/>
          </w:tcPr>
          <w:p w:rsidR="00F85C99" w:rsidRPr="002F6A28" w:rsidRDefault="00AD297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AD297C" w:rsidP="002F6A28">
            <w:pPr>
              <w:spacing w:before="120" w:after="120"/>
            </w:pPr>
            <w:bookmarkStart w:id="9" w:name="X_TBT_Reg_3A"/>
            <w:r w:rsidRPr="002F6A28">
              <w:rPr>
                <w:b/>
              </w:rPr>
              <w:t>Notified under Article 2.9.2</w:t>
            </w:r>
            <w:bookmarkEnd w:id="9"/>
            <w:r w:rsidRPr="002F6A28">
              <w:rPr>
                <w:b/>
              </w:rPr>
              <w:t xml:space="preserve"> [</w:t>
            </w:r>
            <w:bookmarkStart w:id="10" w:name="tbt3a"/>
            <w:r w:rsidRPr="002F6A28">
              <w:rPr>
                <w:b/>
              </w:rPr>
              <w:t>X</w:t>
            </w:r>
            <w:bookmarkEnd w:id="10"/>
            <w:r w:rsidRPr="002F6A28">
              <w:rPr>
                <w:b/>
              </w:rPr>
              <w:t xml:space="preserve">], </w:t>
            </w:r>
            <w:bookmarkStart w:id="11" w:name="X_TBT_Reg_3B"/>
            <w:r w:rsidRPr="002F6A28">
              <w:rPr>
                <w:b/>
              </w:rPr>
              <w:t>2.10.1</w:t>
            </w:r>
            <w:bookmarkEnd w:id="11"/>
            <w:r w:rsidRPr="002F6A28">
              <w:rPr>
                <w:b/>
              </w:rPr>
              <w:t xml:space="preserve"> </w:t>
            </w:r>
            <w:proofErr w:type="gramStart"/>
            <w:r w:rsidRPr="002F6A28">
              <w:rPr>
                <w:b/>
              </w:rPr>
              <w:t>[</w:t>
            </w:r>
            <w:bookmarkStart w:id="12" w:name="tbt3b"/>
            <w:r w:rsidRPr="002F6A28">
              <w:rPr>
                <w:b/>
              </w:rPr>
              <w:t>  </w:t>
            </w:r>
            <w:bookmarkEnd w:id="12"/>
            <w:r w:rsidRPr="002F6A28">
              <w:rPr>
                <w:b/>
              </w:rPr>
              <w:t>]</w:t>
            </w:r>
            <w:proofErr w:type="gramEnd"/>
            <w:r w:rsidRPr="002F6A28">
              <w:rPr>
                <w:b/>
              </w:rPr>
              <w:t xml:space="preserve">, </w:t>
            </w:r>
            <w:bookmarkStart w:id="13" w:name="X_TBT_Reg_3C"/>
            <w:r w:rsidRPr="002F6A28">
              <w:rPr>
                <w:b/>
              </w:rPr>
              <w:t>5.6.2</w:t>
            </w:r>
            <w:bookmarkEnd w:id="13"/>
            <w:r w:rsidRPr="002F6A28">
              <w:rPr>
                <w:b/>
              </w:rPr>
              <w:t xml:space="preserve"> [</w:t>
            </w:r>
            <w:bookmarkStart w:id="14" w:name="tbt3c"/>
            <w:r w:rsidRPr="002F6A28">
              <w:rPr>
                <w:b/>
              </w:rPr>
              <w:t>  </w:t>
            </w:r>
            <w:bookmarkEnd w:id="14"/>
            <w:r w:rsidRPr="002F6A28">
              <w:rPr>
                <w:b/>
              </w:rPr>
              <w:t xml:space="preserve">], </w:t>
            </w:r>
            <w:bookmarkStart w:id="15" w:name="X_TBT_Reg_3D"/>
            <w:r w:rsidRPr="002F6A28">
              <w:rPr>
                <w:b/>
              </w:rPr>
              <w:t>5.7.1</w:t>
            </w:r>
            <w:bookmarkEnd w:id="15"/>
            <w:r w:rsidRPr="002F6A28">
              <w:rPr>
                <w:b/>
              </w:rPr>
              <w:t xml:space="preserve"> [</w:t>
            </w:r>
            <w:bookmarkStart w:id="16" w:name="tbt3d"/>
            <w:r w:rsidRPr="002F6A28">
              <w:rPr>
                <w:b/>
              </w:rPr>
              <w:t>  </w:t>
            </w:r>
            <w:bookmarkEnd w:id="16"/>
            <w:r w:rsidRPr="002F6A28">
              <w:rPr>
                <w:b/>
              </w:rPr>
              <w:t xml:space="preserve">], </w:t>
            </w:r>
            <w:bookmarkStart w:id="17" w:name="X_TBT_Reg_3E"/>
            <w:r w:rsidRPr="002F6A28">
              <w:rPr>
                <w:b/>
              </w:rPr>
              <w:t>other</w:t>
            </w:r>
            <w:bookmarkEnd w:id="17"/>
            <w:r w:rsidR="00036EFF">
              <w:rPr>
                <w:b/>
              </w:rPr>
              <w:t xml:space="preserve"> </w:t>
            </w:r>
            <w:r w:rsidR="00036EFF" w:rsidRPr="002F6A28">
              <w:rPr>
                <w:b/>
              </w:rPr>
              <w:t>[</w:t>
            </w:r>
            <w:bookmarkStart w:id="18" w:name="tbt3f"/>
            <w:r w:rsidR="00036EFF" w:rsidRPr="002F6A28">
              <w:rPr>
                <w:b/>
              </w:rPr>
              <w:t>  </w:t>
            </w:r>
            <w:bookmarkEnd w:id="18"/>
            <w:r w:rsidR="00036EFF" w:rsidRPr="002F6A28">
              <w:rPr>
                <w:b/>
              </w:rPr>
              <w:t>]</w:t>
            </w:r>
            <w:r w:rsidR="00FF5C69">
              <w:rPr>
                <w:b/>
              </w:rPr>
              <w:t>:</w:t>
            </w:r>
            <w:r w:rsidR="003531C5">
              <w:t xml:space="preserve"> </w:t>
            </w:r>
            <w:bookmarkStart w:id="19" w:name="tbt3e"/>
            <w:bookmarkEnd w:id="19"/>
          </w:p>
        </w:tc>
      </w:tr>
      <w:tr w:rsidR="00990063" w:rsidTr="0069259F">
        <w:tc>
          <w:tcPr>
            <w:tcW w:w="713" w:type="dxa"/>
            <w:tcBorders>
              <w:top w:val="single" w:sz="6" w:space="0" w:color="auto"/>
              <w:bottom w:val="single" w:sz="6" w:space="0" w:color="auto"/>
            </w:tcBorders>
            <w:shd w:val="clear" w:color="auto" w:fill="auto"/>
          </w:tcPr>
          <w:p w:rsidR="00F85C99" w:rsidRPr="002F6A28" w:rsidRDefault="00AD297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AD297C" w:rsidP="002F6A28">
            <w:pPr>
              <w:spacing w:before="120" w:after="120"/>
            </w:pPr>
            <w:bookmarkStart w:id="20" w:name="X_TBT_Reg_4A"/>
            <w:r w:rsidRPr="002F6A28">
              <w:rPr>
                <w:b/>
              </w:rPr>
              <w:t>Products covered (HS or CCCN where applicable, otherwise national tariff heading. ICS numbers may be provided in addition, where applicable)</w:t>
            </w:r>
            <w:bookmarkEnd w:id="20"/>
            <w:r w:rsidRPr="002F6A28">
              <w:rPr>
                <w:b/>
              </w:rPr>
              <w:t>:</w:t>
            </w:r>
            <w:r w:rsidR="00EE3A11" w:rsidRPr="00C379C8">
              <w:t xml:space="preserve"> Formaldehyde from composite wood products (ICS: 03.120.2; 79.060; 91.040; 91.060)</w:t>
            </w:r>
            <w:bookmarkStart w:id="21" w:name="sps3a"/>
            <w:bookmarkEnd w:id="21"/>
          </w:p>
        </w:tc>
      </w:tr>
      <w:tr w:rsidR="00990063" w:rsidTr="0069259F">
        <w:tc>
          <w:tcPr>
            <w:tcW w:w="713" w:type="dxa"/>
            <w:tcBorders>
              <w:top w:val="single" w:sz="6" w:space="0" w:color="auto"/>
              <w:bottom w:val="single" w:sz="6" w:space="0" w:color="auto"/>
            </w:tcBorders>
            <w:shd w:val="clear" w:color="auto" w:fill="auto"/>
          </w:tcPr>
          <w:p w:rsidR="00F85C99" w:rsidRPr="002F6A28" w:rsidRDefault="00AD297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AD297C" w:rsidP="002F6A28">
            <w:pPr>
              <w:spacing w:before="120" w:after="120"/>
            </w:pPr>
            <w:bookmarkStart w:id="22" w:name="X_TBT_Reg_5A"/>
            <w:r w:rsidRPr="002F6A28">
              <w:rPr>
                <w:b/>
              </w:rPr>
              <w:t>Title, number of pages and language(s) of the notified document</w:t>
            </w:r>
            <w:bookmarkEnd w:id="22"/>
            <w:r w:rsidRPr="002F6A28">
              <w:rPr>
                <w:b/>
              </w:rPr>
              <w:t>:</w:t>
            </w:r>
            <w:r w:rsidR="00EE3A11" w:rsidRPr="00C379C8">
              <w:t xml:space="preserve"> Proposed Formaldehyde Emissions from Composite Wood Products Regulations (44 pages, available in English and French).</w:t>
            </w:r>
            <w:bookmarkStart w:id="23" w:name="sps5a"/>
            <w:bookmarkStart w:id="24" w:name="sps5c"/>
            <w:bookmarkStart w:id="25" w:name="sps5b"/>
            <w:bookmarkEnd w:id="23"/>
            <w:bookmarkEnd w:id="24"/>
            <w:bookmarkEnd w:id="25"/>
          </w:p>
        </w:tc>
      </w:tr>
      <w:tr w:rsidR="00990063" w:rsidTr="0069259F">
        <w:tc>
          <w:tcPr>
            <w:tcW w:w="713" w:type="dxa"/>
            <w:tcBorders>
              <w:top w:val="single" w:sz="6" w:space="0" w:color="auto"/>
              <w:bottom w:val="single" w:sz="6" w:space="0" w:color="auto"/>
            </w:tcBorders>
            <w:shd w:val="clear" w:color="auto" w:fill="auto"/>
          </w:tcPr>
          <w:p w:rsidR="00F85C99" w:rsidRPr="002F6A28" w:rsidRDefault="00AD297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AD297C" w:rsidP="00AD297C">
            <w:pPr>
              <w:spacing w:before="120" w:after="120"/>
              <w:rPr>
                <w:b/>
              </w:rPr>
            </w:pPr>
            <w:bookmarkStart w:id="26" w:name="X_TBT_Reg_6A"/>
            <w:r w:rsidRPr="002F6A28">
              <w:rPr>
                <w:b/>
              </w:rPr>
              <w:t>Description of content</w:t>
            </w:r>
            <w:bookmarkEnd w:id="26"/>
            <w:r w:rsidRPr="002F6A28">
              <w:rPr>
                <w:b/>
              </w:rPr>
              <w:t>:</w:t>
            </w:r>
            <w:r w:rsidR="00FE448B" w:rsidRPr="00C379C8">
              <w:t xml:space="preserve"> The Regulations would place limits on formaldehyde emissions from composite wood products sold in, offered for sale in and imported into Canada, with a limited number of exemptions. </w:t>
            </w:r>
          </w:p>
          <w:p w:rsidR="00FE448B" w:rsidRPr="00C379C8" w:rsidRDefault="00AD297C" w:rsidP="00AD297C">
            <w:pPr>
              <w:spacing w:after="120"/>
            </w:pPr>
            <w:r w:rsidRPr="00C379C8">
              <w:t>The proposed Regulations would not apply to many construction materials including structural plywood, oriented strand board, structural panels, structural composite lumber, structural glued-laminated timber, wood I-joists, and cross-laminated timber.</w:t>
            </w:r>
          </w:p>
          <w:p w:rsidR="00FE448B" w:rsidRPr="00C379C8" w:rsidRDefault="00AD297C" w:rsidP="00AD297C">
            <w:pPr>
              <w:spacing w:after="120"/>
            </w:pPr>
            <w:r w:rsidRPr="00C379C8">
              <w:t>The proposed Regulations would also include the following exemptions:</w:t>
            </w:r>
          </w:p>
          <w:p w:rsidR="00FE448B" w:rsidRPr="00C379C8" w:rsidRDefault="00AD297C" w:rsidP="00AD297C">
            <w:pPr>
              <w:numPr>
                <w:ilvl w:val="0"/>
                <w:numId w:val="16"/>
              </w:numPr>
              <w:spacing w:before="120" w:after="120"/>
            </w:pPr>
            <w:r w:rsidRPr="00C379C8">
              <w:t>curved plywood</w:t>
            </w:r>
          </w:p>
          <w:p w:rsidR="00FE448B" w:rsidRPr="00C379C8" w:rsidRDefault="00AD297C" w:rsidP="00AD297C">
            <w:pPr>
              <w:numPr>
                <w:ilvl w:val="0"/>
                <w:numId w:val="16"/>
              </w:numPr>
              <w:spacing w:before="120" w:after="120"/>
            </w:pPr>
            <w:r w:rsidRPr="00C379C8">
              <w:t>finger-jointed lumber</w:t>
            </w:r>
          </w:p>
          <w:p w:rsidR="00FE448B" w:rsidRPr="00C379C8" w:rsidRDefault="00AD297C" w:rsidP="00AD297C">
            <w:pPr>
              <w:numPr>
                <w:ilvl w:val="0"/>
                <w:numId w:val="16"/>
              </w:numPr>
              <w:spacing w:before="120" w:after="120"/>
            </w:pPr>
            <w:r w:rsidRPr="00C379C8">
              <w:t>hardboard</w:t>
            </w:r>
          </w:p>
          <w:p w:rsidR="00FE448B" w:rsidRPr="00C379C8" w:rsidRDefault="00AD297C" w:rsidP="00AD297C">
            <w:pPr>
              <w:numPr>
                <w:ilvl w:val="0"/>
                <w:numId w:val="16"/>
              </w:numPr>
              <w:spacing w:before="120" w:after="120"/>
            </w:pPr>
            <w:r w:rsidRPr="00C379C8">
              <w:t>wood packaging, including pallets, crates, spools and dunnage</w:t>
            </w:r>
          </w:p>
          <w:p w:rsidR="00FE448B" w:rsidRPr="00C379C8" w:rsidRDefault="00AD297C" w:rsidP="00AD297C">
            <w:pPr>
              <w:numPr>
                <w:ilvl w:val="0"/>
                <w:numId w:val="16"/>
              </w:numPr>
              <w:spacing w:before="120" w:after="120"/>
            </w:pPr>
            <w:r w:rsidRPr="00C379C8">
              <w:t>composite wood products used in: a vehicle, other than a mobile home, motor home or recreational trailer; any car or railway equipment that is designed for movement on its wheels on the rails of a railway; a vessel; or, an aircraft.</w:t>
            </w:r>
          </w:p>
          <w:p w:rsidR="00FE448B" w:rsidRPr="00C379C8" w:rsidRDefault="00AD297C" w:rsidP="00AD297C">
            <w:pPr>
              <w:numPr>
                <w:ilvl w:val="0"/>
                <w:numId w:val="16"/>
              </w:numPr>
              <w:spacing w:before="120" w:after="120"/>
            </w:pPr>
            <w:r w:rsidRPr="00C379C8">
              <w:lastRenderedPageBreak/>
              <w:t>windows that contain a composite wood product that represents less than 5% of the total volume of the window, including the glass</w:t>
            </w:r>
          </w:p>
          <w:p w:rsidR="00FE448B" w:rsidRPr="00C379C8" w:rsidRDefault="00AD297C" w:rsidP="00AD297C">
            <w:pPr>
              <w:numPr>
                <w:ilvl w:val="0"/>
                <w:numId w:val="16"/>
              </w:numPr>
              <w:spacing w:before="120" w:after="120"/>
            </w:pPr>
            <w:r w:rsidRPr="00C379C8">
              <w:t>exterior or garage doors that contain a composite wood product that either represents less than 3% of the total volume of the exterior or garage door or that contain a composite wood product made only with a no-added formaldehyde resin or an ultra-low emitting formaldehyde resin</w:t>
            </w:r>
          </w:p>
          <w:p w:rsidR="00FE448B" w:rsidRPr="00C379C8" w:rsidRDefault="00AD297C" w:rsidP="00AD297C">
            <w:pPr>
              <w:numPr>
                <w:ilvl w:val="0"/>
                <w:numId w:val="16"/>
              </w:numPr>
              <w:spacing w:before="120" w:after="120"/>
            </w:pPr>
            <w:r w:rsidRPr="00C379C8">
              <w:t>composite wood products that are to be used for research and development activities</w:t>
            </w:r>
          </w:p>
          <w:p w:rsidR="00FE448B" w:rsidRPr="00C379C8" w:rsidRDefault="00AD297C" w:rsidP="00AD297C">
            <w:pPr>
              <w:numPr>
                <w:ilvl w:val="0"/>
                <w:numId w:val="16"/>
              </w:numPr>
              <w:spacing w:before="120" w:after="120"/>
            </w:pPr>
            <w:r w:rsidRPr="00C379C8">
              <w:t>composite wood products that are to be used in a laboratory for analysis, in scientific research or as a laboratory analytical standard; and</w:t>
            </w:r>
          </w:p>
          <w:p w:rsidR="00FE448B" w:rsidRPr="00C379C8" w:rsidRDefault="00AD297C" w:rsidP="00AD297C">
            <w:pPr>
              <w:numPr>
                <w:ilvl w:val="0"/>
                <w:numId w:val="16"/>
              </w:numPr>
              <w:spacing w:before="120" w:after="120"/>
            </w:pPr>
            <w:r w:rsidRPr="00C379C8">
              <w:t>composite wood products that are manufactured or imported for export only.</w:t>
            </w:r>
          </w:p>
          <w:p w:rsidR="00FE448B" w:rsidRPr="00C379C8" w:rsidRDefault="00AD297C" w:rsidP="00AD297C">
            <w:pPr>
              <w:spacing w:after="120"/>
            </w:pPr>
            <w:r w:rsidRPr="00C379C8">
              <w:t xml:space="preserve">Testing requirements on manufacturers of composite wood products are set out in the Regulations as well as within an incorporated by reference directive. Certain testing requirements must be respected using an accredited laboratory. After the coming into force of the final regulations, composite wood products must be labelled at the time of sale in Canada. There are also recordkeeping and reporting requirements set out in the Regulations. </w:t>
            </w:r>
          </w:p>
          <w:p w:rsidR="00FE448B" w:rsidRPr="00C379C8" w:rsidRDefault="00AD297C" w:rsidP="00AD297C">
            <w:pPr>
              <w:spacing w:after="120"/>
            </w:pPr>
            <w:r w:rsidRPr="00C379C8">
              <w:t>Certain laminated products are subject to transitional provision. In addition, composite wood products located in Canada prior to the coming into force of the final regulations, may be used in their manufacturing, offered for sale and sold without meeting the requirements set out in the Regulations for three years after their coming into force.</w:t>
            </w:r>
          </w:p>
          <w:p w:rsidR="00FE448B" w:rsidRPr="00C379C8" w:rsidRDefault="00AD297C" w:rsidP="00AD297C">
            <w:pPr>
              <w:spacing w:after="120"/>
            </w:pPr>
            <w:r w:rsidRPr="00C379C8">
              <w:t xml:space="preserve">The Proposed Regulations align, where possible, with similar requirements in the United States. </w:t>
            </w:r>
          </w:p>
        </w:tc>
      </w:tr>
      <w:tr w:rsidR="00990063" w:rsidTr="0069259F">
        <w:tc>
          <w:tcPr>
            <w:tcW w:w="713" w:type="dxa"/>
            <w:tcBorders>
              <w:top w:val="single" w:sz="6" w:space="0" w:color="auto"/>
              <w:bottom w:val="single" w:sz="6" w:space="0" w:color="auto"/>
            </w:tcBorders>
            <w:shd w:val="clear" w:color="auto" w:fill="auto"/>
          </w:tcPr>
          <w:p w:rsidR="00F85C99" w:rsidRPr="002F6A28" w:rsidRDefault="00AD297C"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rsidR="00F85C99" w:rsidRPr="002F6A28" w:rsidRDefault="00AD297C"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Protection of the human healt</w:t>
            </w:r>
            <w:bookmarkStart w:id="28" w:name="sps7f"/>
            <w:bookmarkEnd w:id="28"/>
            <w:r>
              <w:t>h</w:t>
            </w:r>
          </w:p>
        </w:tc>
      </w:tr>
      <w:tr w:rsidR="00990063" w:rsidTr="0069259F">
        <w:tc>
          <w:tcPr>
            <w:tcW w:w="713" w:type="dxa"/>
            <w:tcBorders>
              <w:top w:val="single" w:sz="6" w:space="0" w:color="auto"/>
              <w:bottom w:val="single" w:sz="6" w:space="0" w:color="auto"/>
            </w:tcBorders>
            <w:shd w:val="clear" w:color="auto" w:fill="auto"/>
          </w:tcPr>
          <w:p w:rsidR="00F85C99" w:rsidRPr="002F6A28" w:rsidRDefault="00AD297C"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AD297C"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rsidR="007F5E6C" w:rsidRPr="002F6A28" w:rsidRDefault="00AD297C" w:rsidP="00AD297C">
            <w:pPr>
              <w:numPr>
                <w:ilvl w:val="0"/>
                <w:numId w:val="17"/>
              </w:numPr>
              <w:spacing w:before="120" w:after="120"/>
              <w:rPr>
                <w:bCs/>
              </w:rPr>
            </w:pPr>
            <w:r w:rsidRPr="002F6A28">
              <w:rPr>
                <w:bCs/>
                <w:i/>
                <w:iCs/>
              </w:rPr>
              <w:t>Canada Gazette</w:t>
            </w:r>
            <w:r w:rsidRPr="002F6A28">
              <w:rPr>
                <w:bCs/>
              </w:rPr>
              <w:t>, Part I, 29 June 2019, pages 3263-3307 (available in English and French)</w:t>
            </w:r>
          </w:p>
        </w:tc>
      </w:tr>
      <w:tr w:rsidR="00990063" w:rsidTr="00AE6CC8">
        <w:trPr>
          <w:cantSplit/>
        </w:trPr>
        <w:tc>
          <w:tcPr>
            <w:tcW w:w="713" w:type="dxa"/>
            <w:tcBorders>
              <w:top w:val="single" w:sz="6" w:space="0" w:color="auto"/>
              <w:bottom w:val="single" w:sz="6" w:space="0" w:color="auto"/>
            </w:tcBorders>
            <w:shd w:val="clear" w:color="auto" w:fill="auto"/>
          </w:tcPr>
          <w:p w:rsidR="00EE3A11" w:rsidRPr="002F6A28" w:rsidRDefault="00AD297C"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AD297C" w:rsidP="008953C4">
            <w:pPr>
              <w:spacing w:before="120" w:after="120"/>
            </w:pPr>
            <w:bookmarkStart w:id="30" w:name="X_TBT_Reg_9A"/>
            <w:r w:rsidRPr="002F6A28">
              <w:rPr>
                <w:b/>
              </w:rPr>
              <w:t>Proposed date of adoption</w:t>
            </w:r>
            <w:bookmarkEnd w:id="30"/>
            <w:r w:rsidRPr="002F6A28">
              <w:rPr>
                <w:b/>
              </w:rPr>
              <w:t>:</w:t>
            </w:r>
            <w:r w:rsidRPr="00C379C8">
              <w:t xml:space="preserve"> </w:t>
            </w:r>
            <w:bookmarkStart w:id="31" w:name="sps10a"/>
            <w:bookmarkStart w:id="32" w:name="sps10b"/>
            <w:bookmarkEnd w:id="31"/>
            <w:r w:rsidRPr="002F6A28">
              <w:t>Summer 2020</w:t>
            </w:r>
            <w:bookmarkEnd w:id="32"/>
          </w:p>
          <w:p w:rsidR="00EE3A11" w:rsidRPr="002F6A28" w:rsidRDefault="00AD297C" w:rsidP="008953C4">
            <w:pPr>
              <w:spacing w:after="120"/>
            </w:pPr>
            <w:bookmarkStart w:id="33" w:name="X_TBT_Reg_9B"/>
            <w:r w:rsidRPr="002F6A28">
              <w:rPr>
                <w:b/>
              </w:rPr>
              <w:t>Proposed date of entry into force</w:t>
            </w:r>
            <w:bookmarkEnd w:id="33"/>
            <w:r w:rsidRPr="002F6A28">
              <w:rPr>
                <w:b/>
              </w:rPr>
              <w:t>:</w:t>
            </w:r>
            <w:r w:rsidRPr="00C379C8">
              <w:t xml:space="preserve"> </w:t>
            </w:r>
            <w:bookmarkStart w:id="34" w:name="sps11a"/>
            <w:bookmarkStart w:id="35" w:name="sps11b"/>
            <w:bookmarkEnd w:id="34"/>
            <w:r w:rsidRPr="002F6A28">
              <w:t xml:space="preserve">The regulations come into force six months after the day on which they are published in Canada Gazette, Part II. </w:t>
            </w:r>
            <w:bookmarkEnd w:id="35"/>
          </w:p>
        </w:tc>
      </w:tr>
      <w:tr w:rsidR="00990063" w:rsidTr="0069259F">
        <w:tc>
          <w:tcPr>
            <w:tcW w:w="713" w:type="dxa"/>
            <w:tcBorders>
              <w:top w:val="single" w:sz="6" w:space="0" w:color="auto"/>
              <w:bottom w:val="single" w:sz="6" w:space="0" w:color="auto"/>
            </w:tcBorders>
            <w:shd w:val="clear" w:color="auto" w:fill="auto"/>
          </w:tcPr>
          <w:p w:rsidR="00F85C99" w:rsidRPr="002F6A28" w:rsidRDefault="00AD297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AD297C" w:rsidP="002F6A28">
            <w:pPr>
              <w:spacing w:before="120" w:after="120"/>
            </w:pPr>
            <w:bookmarkStart w:id="36" w:name="X_TBT_Reg_10A"/>
            <w:r w:rsidRPr="002F6A28">
              <w:rPr>
                <w:b/>
              </w:rPr>
              <w:t>Final date for comments</w:t>
            </w:r>
            <w:bookmarkEnd w:id="36"/>
            <w:r w:rsidRPr="002F6A28">
              <w:rPr>
                <w:b/>
              </w:rPr>
              <w:t>:</w:t>
            </w:r>
            <w:r w:rsidR="00EE3A11" w:rsidRPr="00C379C8">
              <w:t xml:space="preserve"> 12 September 2019</w:t>
            </w:r>
            <w:bookmarkStart w:id="37" w:name="sps12a"/>
            <w:bookmarkEnd w:id="37"/>
          </w:p>
        </w:tc>
      </w:tr>
      <w:tr w:rsidR="00990063" w:rsidTr="0069259F">
        <w:tc>
          <w:tcPr>
            <w:tcW w:w="713" w:type="dxa"/>
            <w:tcBorders>
              <w:top w:val="single" w:sz="6" w:space="0" w:color="auto"/>
            </w:tcBorders>
            <w:shd w:val="clear" w:color="auto" w:fill="auto"/>
          </w:tcPr>
          <w:p w:rsidR="00F85C99" w:rsidRPr="002F6A28" w:rsidRDefault="00AD297C" w:rsidP="00AD297C">
            <w:pPr>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RDefault="00AD297C"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8"/>
            <w:r w:rsidRPr="002F6A28">
              <w:rPr>
                <w:b/>
              </w:rPr>
              <w:t xml:space="preserve"> </w:t>
            </w:r>
            <w:r w:rsidR="00533DC1" w:rsidRPr="002F6A28">
              <w:rPr>
                <w:b/>
              </w:rPr>
              <w:t>[</w:t>
            </w:r>
            <w:bookmarkStart w:id="39" w:name="sps13b"/>
            <w:r w:rsidRPr="002F6A28">
              <w:rPr>
                <w:b/>
              </w:rPr>
              <w:t>X</w:t>
            </w:r>
            <w:bookmarkEnd w:id="39"/>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r w:rsidR="00EE3A11" w:rsidRPr="00C379C8">
              <w:rPr>
                <w:b/>
              </w:rPr>
              <w:t xml:space="preserve"> </w:t>
            </w:r>
            <w:bookmarkStart w:id="41" w:name="sps13c"/>
          </w:p>
          <w:p w:rsidR="00AD297C" w:rsidRDefault="00AD297C" w:rsidP="00B16145">
            <w:pPr>
              <w:keepNext/>
              <w:keepLines/>
              <w:spacing w:before="120" w:after="120"/>
              <w:jc w:val="left"/>
            </w:pPr>
            <w:r w:rsidRPr="002F6A28">
              <w:t>The electronic version of the regulatory text can be downloaded at:</w:t>
            </w:r>
          </w:p>
          <w:p w:rsidR="00AD297C" w:rsidRDefault="00382686" w:rsidP="00AD297C">
            <w:pPr>
              <w:keepNext/>
              <w:keepLines/>
              <w:spacing w:before="120" w:after="120"/>
              <w:jc w:val="left"/>
            </w:pPr>
            <w:hyperlink r:id="rId8" w:history="1">
              <w:r w:rsidR="00AD297C" w:rsidRPr="00D04526">
                <w:rPr>
                  <w:rStyle w:val="Hyperlink"/>
                </w:rPr>
                <w:t>http://gazette.gc.ca/rp-pr/p1/2019/2019-06-29/html/reg3-eng.html</w:t>
              </w:r>
            </w:hyperlink>
            <w:r w:rsidR="00AD297C">
              <w:rPr>
                <w:color w:val="0000FF"/>
                <w:u w:val="single"/>
              </w:rPr>
              <w:t xml:space="preserve"> </w:t>
            </w:r>
            <w:r w:rsidR="00AD297C" w:rsidRPr="002F6A28">
              <w:t>(English)</w:t>
            </w:r>
          </w:p>
          <w:p w:rsidR="00AD297C" w:rsidRDefault="00382686" w:rsidP="00AD297C">
            <w:pPr>
              <w:keepNext/>
              <w:keepLines/>
              <w:spacing w:before="120" w:after="120"/>
              <w:jc w:val="left"/>
            </w:pPr>
            <w:hyperlink r:id="rId9" w:history="1">
              <w:r w:rsidR="00AD297C" w:rsidRPr="002F6A28">
                <w:rPr>
                  <w:color w:val="0000FF"/>
                  <w:u w:val="single"/>
                </w:rPr>
                <w:t>http://gazette.gc.ca/rp-pr/p1/2019/2019-06-29/html/reg3-fra.html</w:t>
              </w:r>
            </w:hyperlink>
            <w:r w:rsidR="00AD297C" w:rsidRPr="002F6A28">
              <w:t xml:space="preserve"> (French)</w:t>
            </w:r>
          </w:p>
          <w:p w:rsidR="00AD297C" w:rsidRDefault="00AD297C" w:rsidP="00AD297C">
            <w:pPr>
              <w:keepNext/>
              <w:keepLines/>
              <w:spacing w:before="120" w:after="120"/>
            </w:pPr>
            <w:r w:rsidRPr="002F6A28">
              <w:t>The Directive Concerning Testing for Formaldehyde Emissions that is part of the regulation and describes the testing procedure to determine Formaldehyde emissions can be downloaded at:</w:t>
            </w:r>
          </w:p>
          <w:p w:rsidR="00AD297C" w:rsidRDefault="00382686" w:rsidP="00AD297C">
            <w:pPr>
              <w:keepNext/>
              <w:keepLines/>
              <w:spacing w:before="120" w:after="120"/>
              <w:jc w:val="left"/>
            </w:pPr>
            <w:hyperlink r:id="rId10" w:history="1">
              <w:r w:rsidR="00AD297C" w:rsidRPr="002F6A28">
                <w:rPr>
                  <w:color w:val="0000FF"/>
                  <w:u w:val="single"/>
                </w:rPr>
                <w:t>https://www.canada.ca/en/environment-climate-change/services/canadian-environmental-protection-act-registry/guidelines-objectives-codes-practice/proposed-directive-testing-formaldehyde-emissions.html</w:t>
              </w:r>
            </w:hyperlink>
            <w:r w:rsidR="00AD297C" w:rsidRPr="002F6A28">
              <w:t xml:space="preserve"> (English)</w:t>
            </w:r>
          </w:p>
          <w:p w:rsidR="007F5E6C" w:rsidRPr="002F6A28" w:rsidRDefault="00382686" w:rsidP="00AD297C">
            <w:pPr>
              <w:keepNext/>
              <w:keepLines/>
              <w:spacing w:before="120" w:after="120"/>
              <w:jc w:val="left"/>
            </w:pPr>
            <w:hyperlink r:id="rId11" w:history="1">
              <w:r w:rsidR="00AD297C" w:rsidRPr="002F6A28">
                <w:rPr>
                  <w:color w:val="0000FF"/>
                  <w:u w:val="single"/>
                </w:rPr>
                <w:t>https://www.canada.ca/fr/environnement-changement-climatique/services/registre-environnemental-loi-canadienne-protection/directives-objectifs-codes-pratiques/directive-essais-emissions-formaldehyde-proposee.html</w:t>
              </w:r>
            </w:hyperlink>
            <w:r w:rsidR="00AD297C" w:rsidRPr="002F6A28">
              <w:t xml:space="preserve"> (French)</w:t>
            </w:r>
            <w:bookmarkEnd w:id="41"/>
          </w:p>
        </w:tc>
      </w:tr>
    </w:tbl>
    <w:p w:rsidR="00EE3A11" w:rsidRPr="002F6A28" w:rsidRDefault="00EE3A11" w:rsidP="002F6A28"/>
    <w:sectPr w:rsidR="00EE3A11" w:rsidRPr="002F6A28" w:rsidSect="00AD297C">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2"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A1E" w:rsidRDefault="00AD297C">
      <w:r>
        <w:separator/>
      </w:r>
    </w:p>
  </w:endnote>
  <w:endnote w:type="continuationSeparator" w:id="0">
    <w:p w:rsidR="008C6A1E" w:rsidRDefault="00AD2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AD297C"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AD297C"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AD297C">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A1E" w:rsidRDefault="00AD297C">
      <w:r>
        <w:separator/>
      </w:r>
    </w:p>
  </w:footnote>
  <w:footnote w:type="continuationSeparator" w:id="0">
    <w:p w:rsidR="008C6A1E" w:rsidRDefault="00AD2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AD297C" w:rsidP="009239F7">
    <w:pPr>
      <w:pStyle w:val="Header"/>
      <w:pBdr>
        <w:bottom w:val="single" w:sz="4" w:space="1" w:color="auto"/>
      </w:pBdr>
      <w:tabs>
        <w:tab w:val="clear" w:pos="4513"/>
        <w:tab w:val="clear" w:pos="9027"/>
      </w:tabs>
      <w:jc w:val="center"/>
    </w:pPr>
    <w:proofErr w:type="spellStart"/>
    <w:r w:rsidRPr="002F6A28">
      <w:t>tbtSymbol</w:t>
    </w:r>
    <w:proofErr w:type="spellEnd"/>
  </w:p>
  <w:p w:rsidR="009239F7" w:rsidRPr="002F6A28" w:rsidRDefault="009239F7" w:rsidP="009239F7">
    <w:pPr>
      <w:pStyle w:val="Header"/>
      <w:pBdr>
        <w:bottom w:val="single" w:sz="4" w:space="1" w:color="auto"/>
      </w:pBdr>
      <w:tabs>
        <w:tab w:val="clear" w:pos="4513"/>
        <w:tab w:val="clear" w:pos="9027"/>
      </w:tabs>
      <w:jc w:val="center"/>
    </w:pPr>
  </w:p>
  <w:p w:rsidR="009239F7" w:rsidRPr="002F6A28" w:rsidRDefault="00AD297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AD297C" w:rsidP="009239F7">
    <w:pPr>
      <w:pStyle w:val="Header"/>
      <w:pBdr>
        <w:bottom w:val="single" w:sz="4" w:space="1" w:color="auto"/>
      </w:pBdr>
      <w:tabs>
        <w:tab w:val="clear" w:pos="4513"/>
        <w:tab w:val="clear" w:pos="9027"/>
      </w:tabs>
      <w:jc w:val="center"/>
    </w:pPr>
    <w:bookmarkStart w:id="42" w:name="spsSymbolHeader"/>
    <w:r w:rsidRPr="002F6A28">
      <w:t>G/TBT/N/CAN/593</w:t>
    </w:r>
    <w:bookmarkEnd w:id="42"/>
  </w:p>
  <w:p w:rsidR="009239F7" w:rsidRPr="002F6A28" w:rsidRDefault="009239F7" w:rsidP="009239F7">
    <w:pPr>
      <w:pStyle w:val="Header"/>
      <w:pBdr>
        <w:bottom w:val="single" w:sz="4" w:space="1" w:color="auto"/>
      </w:pBdr>
      <w:tabs>
        <w:tab w:val="clear" w:pos="4513"/>
        <w:tab w:val="clear" w:pos="9027"/>
      </w:tabs>
      <w:jc w:val="center"/>
    </w:pPr>
  </w:p>
  <w:p w:rsidR="009239F7" w:rsidRPr="002F6A28" w:rsidRDefault="00AD297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90063"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9239F7" w:rsidRDefault="00ED54E0" w:rsidP="00B801E9">
          <w:pPr>
            <w:jc w:val="right"/>
            <w:rPr>
              <w:b/>
              <w:color w:val="FF0000"/>
              <w:szCs w:val="16"/>
            </w:rPr>
          </w:pPr>
        </w:p>
      </w:tc>
    </w:tr>
    <w:bookmarkEnd w:id="43"/>
    <w:tr w:rsidR="00990063" w:rsidTr="008612A9">
      <w:trPr>
        <w:trHeight w:val="213"/>
        <w:jc w:val="center"/>
      </w:trPr>
      <w:tc>
        <w:tcPr>
          <w:tcW w:w="3794" w:type="dxa"/>
          <w:vMerge w:val="restart"/>
          <w:shd w:val="clear" w:color="auto" w:fill="FFFFFF"/>
          <w:tcMar>
            <w:left w:w="0" w:type="dxa"/>
            <w:right w:w="0" w:type="dxa"/>
          </w:tcMar>
        </w:tcPr>
        <w:p w:rsidR="00ED54E0" w:rsidRPr="009239F7" w:rsidRDefault="00AD297C" w:rsidP="00B801E9">
          <w:pPr>
            <w:jc w:val="left"/>
          </w:pPr>
          <w:r>
            <w:rPr>
              <w:noProof/>
              <w:lang w:eastAsia="en-GB"/>
            </w:rPr>
            <w:drawing>
              <wp:inline distT="0" distB="0" distL="0" distR="0">
                <wp:extent cx="2390775" cy="714375"/>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79516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0775"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990063"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9239F7" w:rsidRPr="002F6A28" w:rsidRDefault="00AD297C" w:rsidP="00B801E9">
          <w:pPr>
            <w:jc w:val="right"/>
            <w:rPr>
              <w:b/>
              <w:szCs w:val="16"/>
            </w:rPr>
          </w:pPr>
          <w:bookmarkStart w:id="44" w:name="bmkSymbols"/>
          <w:r w:rsidRPr="002F6A28">
            <w:rPr>
              <w:b/>
              <w:szCs w:val="16"/>
            </w:rPr>
            <w:t>G/TBT/N/CAN/593</w:t>
          </w:r>
          <w:bookmarkEnd w:id="44"/>
        </w:p>
      </w:tc>
    </w:tr>
    <w:tr w:rsidR="00990063"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AD297C" w:rsidP="00B801E9">
          <w:pPr>
            <w:jc w:val="right"/>
            <w:rPr>
              <w:szCs w:val="16"/>
            </w:rPr>
          </w:pPr>
          <w:bookmarkStart w:id="45" w:name="spsDateDistribution"/>
          <w:bookmarkStart w:id="46" w:name="bmkDate"/>
          <w:bookmarkEnd w:id="45"/>
          <w:bookmarkEnd w:id="46"/>
          <w:r>
            <w:rPr>
              <w:szCs w:val="16"/>
            </w:rPr>
            <w:t>3 July 2019</w:t>
          </w:r>
        </w:p>
      </w:tc>
    </w:tr>
    <w:tr w:rsidR="00990063"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AD297C" w:rsidP="0097650D">
          <w:pPr>
            <w:jc w:val="left"/>
            <w:rPr>
              <w:b/>
            </w:rPr>
          </w:pPr>
          <w:bookmarkStart w:id="47" w:name="bmkSerial"/>
          <w:r w:rsidRPr="002F6A28">
            <w:rPr>
              <w:color w:val="FF0000"/>
              <w:szCs w:val="16"/>
            </w:rPr>
            <w:t>(</w:t>
          </w:r>
          <w:bookmarkStart w:id="48" w:name="spsSerialNumber"/>
          <w:bookmarkEnd w:id="48"/>
          <w:r>
            <w:rPr>
              <w:color w:val="FF0000"/>
              <w:szCs w:val="16"/>
            </w:rPr>
            <w:t>19-4456</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9239F7" w:rsidRDefault="00AD297C"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990063"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AD297C"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rsidR="00ED54E0" w:rsidRPr="002F6A28" w:rsidRDefault="00AD297C"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 French</w:t>
          </w:r>
          <w:bookmarkEnd w:id="51"/>
          <w:bookmarkEnd w:id="52"/>
        </w:p>
      </w:tc>
    </w:tr>
  </w:tbl>
  <w:p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132B076">
      <w:start w:val="1"/>
      <w:numFmt w:val="decimal"/>
      <w:pStyle w:val="SummaryText"/>
      <w:lvlText w:val="%1."/>
      <w:lvlJc w:val="left"/>
      <w:pPr>
        <w:ind w:left="360" w:hanging="360"/>
      </w:pPr>
    </w:lvl>
    <w:lvl w:ilvl="1" w:tplc="3ABCBFC4" w:tentative="1">
      <w:start w:val="1"/>
      <w:numFmt w:val="lowerLetter"/>
      <w:lvlText w:val="%2."/>
      <w:lvlJc w:val="left"/>
      <w:pPr>
        <w:ind w:left="1080" w:hanging="360"/>
      </w:pPr>
    </w:lvl>
    <w:lvl w:ilvl="2" w:tplc="600E53CA" w:tentative="1">
      <w:start w:val="1"/>
      <w:numFmt w:val="lowerRoman"/>
      <w:lvlText w:val="%3."/>
      <w:lvlJc w:val="right"/>
      <w:pPr>
        <w:ind w:left="1800" w:hanging="180"/>
      </w:pPr>
    </w:lvl>
    <w:lvl w:ilvl="3" w:tplc="CE56393E" w:tentative="1">
      <w:start w:val="1"/>
      <w:numFmt w:val="decimal"/>
      <w:lvlText w:val="%4."/>
      <w:lvlJc w:val="left"/>
      <w:pPr>
        <w:ind w:left="2520" w:hanging="360"/>
      </w:pPr>
    </w:lvl>
    <w:lvl w:ilvl="4" w:tplc="6A7695BA" w:tentative="1">
      <w:start w:val="1"/>
      <w:numFmt w:val="lowerLetter"/>
      <w:lvlText w:val="%5."/>
      <w:lvlJc w:val="left"/>
      <w:pPr>
        <w:ind w:left="3240" w:hanging="360"/>
      </w:pPr>
    </w:lvl>
    <w:lvl w:ilvl="5" w:tplc="8F40F33A" w:tentative="1">
      <w:start w:val="1"/>
      <w:numFmt w:val="lowerRoman"/>
      <w:lvlText w:val="%6."/>
      <w:lvlJc w:val="right"/>
      <w:pPr>
        <w:ind w:left="3960" w:hanging="180"/>
      </w:pPr>
    </w:lvl>
    <w:lvl w:ilvl="6" w:tplc="984C3E90" w:tentative="1">
      <w:start w:val="1"/>
      <w:numFmt w:val="decimal"/>
      <w:lvlText w:val="%7."/>
      <w:lvlJc w:val="left"/>
      <w:pPr>
        <w:ind w:left="4680" w:hanging="360"/>
      </w:pPr>
    </w:lvl>
    <w:lvl w:ilvl="7" w:tplc="AFD8A7F0" w:tentative="1">
      <w:start w:val="1"/>
      <w:numFmt w:val="lowerLetter"/>
      <w:lvlText w:val="%8."/>
      <w:lvlJc w:val="left"/>
      <w:pPr>
        <w:ind w:left="5400" w:hanging="360"/>
      </w:pPr>
    </w:lvl>
    <w:lvl w:ilvl="8" w:tplc="16FE7430"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9140C634">
      <w:start w:val="1"/>
      <w:numFmt w:val="bullet"/>
      <w:lvlText w:val=""/>
      <w:lvlJc w:val="left"/>
      <w:pPr>
        <w:ind w:left="720" w:hanging="360"/>
      </w:pPr>
      <w:rPr>
        <w:rFonts w:ascii="Symbol" w:hAnsi="Symbol"/>
      </w:rPr>
    </w:lvl>
    <w:lvl w:ilvl="1" w:tplc="55400494">
      <w:start w:val="1"/>
      <w:numFmt w:val="bullet"/>
      <w:lvlText w:val="o"/>
      <w:lvlJc w:val="left"/>
      <w:pPr>
        <w:tabs>
          <w:tab w:val="num" w:pos="1440"/>
        </w:tabs>
        <w:ind w:left="1440" w:hanging="360"/>
      </w:pPr>
      <w:rPr>
        <w:rFonts w:ascii="Courier New" w:hAnsi="Courier New"/>
      </w:rPr>
    </w:lvl>
    <w:lvl w:ilvl="2" w:tplc="EAB01504">
      <w:start w:val="1"/>
      <w:numFmt w:val="bullet"/>
      <w:lvlText w:val=""/>
      <w:lvlJc w:val="left"/>
      <w:pPr>
        <w:tabs>
          <w:tab w:val="num" w:pos="2160"/>
        </w:tabs>
        <w:ind w:left="2160" w:hanging="360"/>
      </w:pPr>
      <w:rPr>
        <w:rFonts w:ascii="Wingdings" w:hAnsi="Wingdings"/>
      </w:rPr>
    </w:lvl>
    <w:lvl w:ilvl="3" w:tplc="AA5E8D38">
      <w:start w:val="1"/>
      <w:numFmt w:val="bullet"/>
      <w:lvlText w:val=""/>
      <w:lvlJc w:val="left"/>
      <w:pPr>
        <w:tabs>
          <w:tab w:val="num" w:pos="2880"/>
        </w:tabs>
        <w:ind w:left="2880" w:hanging="360"/>
      </w:pPr>
      <w:rPr>
        <w:rFonts w:ascii="Symbol" w:hAnsi="Symbol"/>
      </w:rPr>
    </w:lvl>
    <w:lvl w:ilvl="4" w:tplc="04A46470">
      <w:start w:val="1"/>
      <w:numFmt w:val="bullet"/>
      <w:lvlText w:val="o"/>
      <w:lvlJc w:val="left"/>
      <w:pPr>
        <w:tabs>
          <w:tab w:val="num" w:pos="3600"/>
        </w:tabs>
        <w:ind w:left="3600" w:hanging="360"/>
      </w:pPr>
      <w:rPr>
        <w:rFonts w:ascii="Courier New" w:hAnsi="Courier New"/>
      </w:rPr>
    </w:lvl>
    <w:lvl w:ilvl="5" w:tplc="AAE25070">
      <w:start w:val="1"/>
      <w:numFmt w:val="bullet"/>
      <w:lvlText w:val=""/>
      <w:lvlJc w:val="left"/>
      <w:pPr>
        <w:tabs>
          <w:tab w:val="num" w:pos="4320"/>
        </w:tabs>
        <w:ind w:left="4320" w:hanging="360"/>
      </w:pPr>
      <w:rPr>
        <w:rFonts w:ascii="Wingdings" w:hAnsi="Wingdings"/>
      </w:rPr>
    </w:lvl>
    <w:lvl w:ilvl="6" w:tplc="2BEC8236">
      <w:start w:val="1"/>
      <w:numFmt w:val="bullet"/>
      <w:lvlText w:val=""/>
      <w:lvlJc w:val="left"/>
      <w:pPr>
        <w:tabs>
          <w:tab w:val="num" w:pos="5040"/>
        </w:tabs>
        <w:ind w:left="5040" w:hanging="360"/>
      </w:pPr>
      <w:rPr>
        <w:rFonts w:ascii="Symbol" w:hAnsi="Symbol"/>
      </w:rPr>
    </w:lvl>
    <w:lvl w:ilvl="7" w:tplc="E4FAD954">
      <w:start w:val="1"/>
      <w:numFmt w:val="bullet"/>
      <w:lvlText w:val="o"/>
      <w:lvlJc w:val="left"/>
      <w:pPr>
        <w:tabs>
          <w:tab w:val="num" w:pos="5760"/>
        </w:tabs>
        <w:ind w:left="5760" w:hanging="360"/>
      </w:pPr>
      <w:rPr>
        <w:rFonts w:ascii="Courier New" w:hAnsi="Courier New"/>
      </w:rPr>
    </w:lvl>
    <w:lvl w:ilvl="8" w:tplc="2B2A52AE">
      <w:start w:val="1"/>
      <w:numFmt w:val="bullet"/>
      <w:lvlText w:val=""/>
      <w:lvlJc w:val="left"/>
      <w:pPr>
        <w:tabs>
          <w:tab w:val="num" w:pos="6480"/>
        </w:tabs>
        <w:ind w:left="6480" w:hanging="360"/>
      </w:pPr>
      <w:rPr>
        <w:rFonts w:ascii="Wingdings" w:hAnsi="Wingdings"/>
      </w:rPr>
    </w:lvl>
  </w:abstractNum>
  <w:abstractNum w:abstractNumId="15" w15:restartNumberingAfterBreak="0">
    <w:nsid w:val="63D526BC"/>
    <w:multiLevelType w:val="hybridMultilevel"/>
    <w:tmpl w:val="63D526BC"/>
    <w:lvl w:ilvl="0" w:tplc="74EE2AFE">
      <w:start w:val="1"/>
      <w:numFmt w:val="bullet"/>
      <w:lvlText w:val=""/>
      <w:lvlJc w:val="left"/>
      <w:pPr>
        <w:ind w:left="720" w:hanging="360"/>
      </w:pPr>
      <w:rPr>
        <w:rFonts w:ascii="Symbol" w:hAnsi="Symbol"/>
      </w:rPr>
    </w:lvl>
    <w:lvl w:ilvl="1" w:tplc="CCAC5E0C">
      <w:start w:val="1"/>
      <w:numFmt w:val="bullet"/>
      <w:lvlText w:val="o"/>
      <w:lvlJc w:val="left"/>
      <w:pPr>
        <w:tabs>
          <w:tab w:val="num" w:pos="1440"/>
        </w:tabs>
        <w:ind w:left="1440" w:hanging="360"/>
      </w:pPr>
      <w:rPr>
        <w:rFonts w:ascii="Courier New" w:hAnsi="Courier New"/>
      </w:rPr>
    </w:lvl>
    <w:lvl w:ilvl="2" w:tplc="7708DF26">
      <w:start w:val="1"/>
      <w:numFmt w:val="bullet"/>
      <w:lvlText w:val=""/>
      <w:lvlJc w:val="left"/>
      <w:pPr>
        <w:tabs>
          <w:tab w:val="num" w:pos="2160"/>
        </w:tabs>
        <w:ind w:left="2160" w:hanging="360"/>
      </w:pPr>
      <w:rPr>
        <w:rFonts w:ascii="Wingdings" w:hAnsi="Wingdings"/>
      </w:rPr>
    </w:lvl>
    <w:lvl w:ilvl="3" w:tplc="505C5FC4">
      <w:start w:val="1"/>
      <w:numFmt w:val="bullet"/>
      <w:lvlText w:val=""/>
      <w:lvlJc w:val="left"/>
      <w:pPr>
        <w:tabs>
          <w:tab w:val="num" w:pos="2880"/>
        </w:tabs>
        <w:ind w:left="2880" w:hanging="360"/>
      </w:pPr>
      <w:rPr>
        <w:rFonts w:ascii="Symbol" w:hAnsi="Symbol"/>
      </w:rPr>
    </w:lvl>
    <w:lvl w:ilvl="4" w:tplc="71263B34">
      <w:start w:val="1"/>
      <w:numFmt w:val="bullet"/>
      <w:lvlText w:val="o"/>
      <w:lvlJc w:val="left"/>
      <w:pPr>
        <w:tabs>
          <w:tab w:val="num" w:pos="3600"/>
        </w:tabs>
        <w:ind w:left="3600" w:hanging="360"/>
      </w:pPr>
      <w:rPr>
        <w:rFonts w:ascii="Courier New" w:hAnsi="Courier New"/>
      </w:rPr>
    </w:lvl>
    <w:lvl w:ilvl="5" w:tplc="A0EAA122">
      <w:start w:val="1"/>
      <w:numFmt w:val="bullet"/>
      <w:lvlText w:val=""/>
      <w:lvlJc w:val="left"/>
      <w:pPr>
        <w:tabs>
          <w:tab w:val="num" w:pos="4320"/>
        </w:tabs>
        <w:ind w:left="4320" w:hanging="360"/>
      </w:pPr>
      <w:rPr>
        <w:rFonts w:ascii="Wingdings" w:hAnsi="Wingdings"/>
      </w:rPr>
    </w:lvl>
    <w:lvl w:ilvl="6" w:tplc="3E84AECC">
      <w:start w:val="1"/>
      <w:numFmt w:val="bullet"/>
      <w:lvlText w:val=""/>
      <w:lvlJc w:val="left"/>
      <w:pPr>
        <w:tabs>
          <w:tab w:val="num" w:pos="5040"/>
        </w:tabs>
        <w:ind w:left="5040" w:hanging="360"/>
      </w:pPr>
      <w:rPr>
        <w:rFonts w:ascii="Symbol" w:hAnsi="Symbol"/>
      </w:rPr>
    </w:lvl>
    <w:lvl w:ilvl="7" w:tplc="63449124">
      <w:start w:val="1"/>
      <w:numFmt w:val="bullet"/>
      <w:lvlText w:val="o"/>
      <w:lvlJc w:val="left"/>
      <w:pPr>
        <w:tabs>
          <w:tab w:val="num" w:pos="5760"/>
        </w:tabs>
        <w:ind w:left="5760" w:hanging="360"/>
      </w:pPr>
      <w:rPr>
        <w:rFonts w:ascii="Courier New" w:hAnsi="Courier New"/>
      </w:rPr>
    </w:lvl>
    <w:lvl w:ilvl="8" w:tplc="74F2F1AC">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31E1"/>
    <w:rsid w:val="000E1CF4"/>
    <w:rsid w:val="000E45AD"/>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268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95344"/>
    <w:rsid w:val="005B04B9"/>
    <w:rsid w:val="005B68C7"/>
    <w:rsid w:val="005B7054"/>
    <w:rsid w:val="005C5BA4"/>
    <w:rsid w:val="005D5981"/>
    <w:rsid w:val="005F30CB"/>
    <w:rsid w:val="005F6444"/>
    <w:rsid w:val="00612644"/>
    <w:rsid w:val="00623F9F"/>
    <w:rsid w:val="00643C1F"/>
    <w:rsid w:val="00655881"/>
    <w:rsid w:val="0066043C"/>
    <w:rsid w:val="006607BC"/>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7F5E6C"/>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C6A1E"/>
    <w:rsid w:val="008E372C"/>
    <w:rsid w:val="008E67DC"/>
    <w:rsid w:val="009239F7"/>
    <w:rsid w:val="00955D8A"/>
    <w:rsid w:val="00964F4F"/>
    <w:rsid w:val="0097650D"/>
    <w:rsid w:val="009811DD"/>
    <w:rsid w:val="00984DF3"/>
    <w:rsid w:val="00990063"/>
    <w:rsid w:val="00990E7D"/>
    <w:rsid w:val="009A6F54"/>
    <w:rsid w:val="009A72C6"/>
    <w:rsid w:val="009B6669"/>
    <w:rsid w:val="009D1FF8"/>
    <w:rsid w:val="009E75ED"/>
    <w:rsid w:val="009F1F2F"/>
    <w:rsid w:val="009F21A8"/>
    <w:rsid w:val="00A6057A"/>
    <w:rsid w:val="00A71BE1"/>
    <w:rsid w:val="00A74017"/>
    <w:rsid w:val="00A9543B"/>
    <w:rsid w:val="00AA332C"/>
    <w:rsid w:val="00AA4D5C"/>
    <w:rsid w:val="00AA646C"/>
    <w:rsid w:val="00AB0E5D"/>
    <w:rsid w:val="00AC27F8"/>
    <w:rsid w:val="00AC6C6E"/>
    <w:rsid w:val="00AD297C"/>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B0455"/>
    <w:rsid w:val="00BB1F84"/>
    <w:rsid w:val="00BE5468"/>
    <w:rsid w:val="00BF59EC"/>
    <w:rsid w:val="00C11EAC"/>
    <w:rsid w:val="00C12F46"/>
    <w:rsid w:val="00C16D5D"/>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52A9D"/>
    <w:rsid w:val="00D55AAD"/>
    <w:rsid w:val="00D70F5B"/>
    <w:rsid w:val="00D747AE"/>
    <w:rsid w:val="00D9226C"/>
    <w:rsid w:val="00D94AD3"/>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styleId="UnresolvedMention">
    <w:name w:val="Unresolved Mention"/>
    <w:basedOn w:val="DefaultParagraphFont"/>
    <w:uiPriority w:val="99"/>
    <w:rsid w:val="00AD2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gazette.gc.ca/rp-pr/p1/2019/2019-06-29/html/reg3-eng.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ypoint@international.gc.ca"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environnement-changement-climatique/services/registre-environnemental-loi-canadienne-protection/directives-objectifs-codes-pratiques/directive-essais-emissions-formaldehyde-proposee.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en/environment-climate-change/services/canadian-environmental-protection-act-registry/guidelines-objectives-codes-practice/proposed-directive-testing-formaldehyde-emission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azette.gc.ca/rp-pr/p1/2019/2019-06-29/html/reg3-fra.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695</Words>
  <Characters>4488</Characters>
  <Application>Microsoft Office Word</Application>
  <DocSecurity>0</DocSecurity>
  <Lines>96</Lines>
  <Paragraphs>50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2019-07-03T12:21:00Z</dcterms:created>
  <dcterms:modified xsi:type="dcterms:W3CDTF">2019-07-03T13:21:00Z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ies>
</file>