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5F03F9" w:rsidP="002F6A28">
      <w:pPr>
        <w:pStyle w:val="Title"/>
        <w:rPr>
          <w:caps w:val="0"/>
          <w:kern w:val="0"/>
        </w:rPr>
      </w:pPr>
      <w:r w:rsidRPr="002F6A28">
        <w:rPr>
          <w:caps w:val="0"/>
          <w:kern w:val="0"/>
        </w:rPr>
        <w:t>NOTIFICATION</w:t>
      </w:r>
    </w:p>
    <w:p w:rsidR="009239F7" w:rsidRPr="002F6A28" w:rsidRDefault="005F03F9"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C0E55" w:rsidTr="0069259F">
        <w:tc>
          <w:tcPr>
            <w:tcW w:w="713" w:type="dxa"/>
            <w:tcBorders>
              <w:bottom w:val="single" w:sz="6" w:space="0" w:color="auto"/>
            </w:tcBorders>
            <w:shd w:val="clear" w:color="auto" w:fill="auto"/>
          </w:tcPr>
          <w:p w:rsidR="00F85C99" w:rsidRPr="002F6A28" w:rsidRDefault="005F03F9"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5F03F9"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Ukraine</w:t>
            </w:r>
            <w:bookmarkEnd w:id="1"/>
            <w:r w:rsidRPr="002F6A28">
              <w:t xml:space="preserve"> </w:t>
            </w:r>
          </w:p>
          <w:p w:rsidR="00F85C99" w:rsidRPr="002F6A28" w:rsidRDefault="005F03F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C0E55" w:rsidTr="0069259F">
        <w:tc>
          <w:tcPr>
            <w:tcW w:w="713" w:type="dxa"/>
            <w:tcBorders>
              <w:top w:val="single" w:sz="6" w:space="0" w:color="auto"/>
              <w:bottom w:val="single" w:sz="6" w:space="0" w:color="auto"/>
            </w:tcBorders>
            <w:shd w:val="clear" w:color="auto" w:fill="auto"/>
          </w:tcPr>
          <w:p w:rsidR="00F85C99" w:rsidRPr="002F6A28" w:rsidRDefault="005F03F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5F03F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Ministry of Environmental Protection and Natural Resources of Ukraine</w:t>
            </w:r>
            <w:bookmarkEnd w:id="5"/>
          </w:p>
          <w:p w:rsidR="00F85C99" w:rsidRPr="002F6A28" w:rsidRDefault="005F03F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FC0E55" w:rsidTr="0069259F">
        <w:tc>
          <w:tcPr>
            <w:tcW w:w="713" w:type="dxa"/>
            <w:tcBorders>
              <w:top w:val="single" w:sz="6" w:space="0" w:color="auto"/>
              <w:bottom w:val="single" w:sz="6" w:space="0" w:color="auto"/>
            </w:tcBorders>
            <w:shd w:val="clear" w:color="auto" w:fill="auto"/>
          </w:tcPr>
          <w:p w:rsidR="00F85C99" w:rsidRPr="002F6A28" w:rsidRDefault="005F03F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5F03F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FC0E55" w:rsidTr="0069259F">
        <w:tc>
          <w:tcPr>
            <w:tcW w:w="713" w:type="dxa"/>
            <w:tcBorders>
              <w:top w:val="single" w:sz="6" w:space="0" w:color="auto"/>
              <w:bottom w:val="single" w:sz="6" w:space="0" w:color="auto"/>
            </w:tcBorders>
            <w:shd w:val="clear" w:color="auto" w:fill="auto"/>
          </w:tcPr>
          <w:p w:rsidR="00F85C99" w:rsidRPr="002F6A28" w:rsidRDefault="005F03F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5F03F9"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All chemicals</w:t>
            </w:r>
            <w:bookmarkStart w:id="20" w:name="sps3a"/>
            <w:bookmarkEnd w:id="20"/>
          </w:p>
        </w:tc>
      </w:tr>
      <w:tr w:rsidR="00FC0E55" w:rsidTr="0069259F">
        <w:tc>
          <w:tcPr>
            <w:tcW w:w="713" w:type="dxa"/>
            <w:tcBorders>
              <w:top w:val="single" w:sz="6" w:space="0" w:color="auto"/>
              <w:bottom w:val="single" w:sz="6" w:space="0" w:color="auto"/>
            </w:tcBorders>
            <w:shd w:val="clear" w:color="auto" w:fill="auto"/>
          </w:tcPr>
          <w:p w:rsidR="00F85C99" w:rsidRPr="002F6A28" w:rsidRDefault="005F03F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5F03F9"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The draft Law of Ukraine "On Chemical Safety" (96 page(s), in Ukrainian)</w:t>
            </w:r>
            <w:bookmarkStart w:id="22" w:name="sps5a"/>
            <w:bookmarkStart w:id="23" w:name="sps5c"/>
            <w:bookmarkStart w:id="24" w:name="sps5b"/>
            <w:bookmarkEnd w:id="22"/>
            <w:bookmarkEnd w:id="23"/>
            <w:bookmarkEnd w:id="24"/>
          </w:p>
        </w:tc>
      </w:tr>
      <w:tr w:rsidR="00FC0E55" w:rsidTr="0069259F">
        <w:tc>
          <w:tcPr>
            <w:tcW w:w="713" w:type="dxa"/>
            <w:tcBorders>
              <w:top w:val="single" w:sz="6" w:space="0" w:color="auto"/>
              <w:bottom w:val="single" w:sz="6" w:space="0" w:color="auto"/>
            </w:tcBorders>
            <w:shd w:val="clear" w:color="auto" w:fill="auto"/>
          </w:tcPr>
          <w:p w:rsidR="00F85C99" w:rsidRPr="002F6A28" w:rsidRDefault="005F03F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5F03F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draft Law is developed to determine the legal, organizational and economic principles in the field of chemical safety, aimed at preventing the negative impact of chemical products on the environment and public health, establishing relations arising in the field of chemical safety management, taking into account Ukraine's international obligations in this area.</w:t>
            </w:r>
          </w:p>
        </w:tc>
      </w:tr>
      <w:tr w:rsidR="00FC0E55" w:rsidTr="0069259F">
        <w:tc>
          <w:tcPr>
            <w:tcW w:w="713" w:type="dxa"/>
            <w:tcBorders>
              <w:top w:val="single" w:sz="6" w:space="0" w:color="auto"/>
              <w:bottom w:val="single" w:sz="6" w:space="0" w:color="auto"/>
            </w:tcBorders>
            <w:shd w:val="clear" w:color="auto" w:fill="auto"/>
          </w:tcPr>
          <w:p w:rsidR="00F85C99" w:rsidRPr="002F6A28" w:rsidRDefault="005F03F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5F03F9"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The draft Law aims to create a regulatory framework for establishing a functional national system of chemical safety with the definition of clear powers, rights and responsibilities of government agencies, businesses, the general public, the introduction of modern approaches to chemical management and chemical safety, approximation and adaptation of national legislation to the legislation of  the European Union. The draft Law provides the establishment of legal regulation of the management of chemical safety and chemical products. The mechanism for implementing the Law includes the introduction of new rules and requirements for: </w:t>
            </w:r>
          </w:p>
          <w:p w:rsidR="00EE3A11" w:rsidRPr="00C379C8" w:rsidRDefault="005F03F9" w:rsidP="002F6A28">
            <w:pPr>
              <w:numPr>
                <w:ilvl w:val="0"/>
                <w:numId w:val="16"/>
              </w:numPr>
              <w:spacing w:before="120" w:after="120"/>
              <w:jc w:val="left"/>
            </w:pPr>
            <w:r w:rsidRPr="00C379C8">
              <w:t>setting goals of state policy in the field of chemical safety;</w:t>
            </w:r>
          </w:p>
          <w:p w:rsidR="00EE3A11" w:rsidRPr="00C379C8" w:rsidRDefault="005F03F9" w:rsidP="002F6A28">
            <w:pPr>
              <w:numPr>
                <w:ilvl w:val="0"/>
                <w:numId w:val="16"/>
              </w:numPr>
              <w:spacing w:before="120" w:after="120"/>
              <w:jc w:val="left"/>
            </w:pPr>
            <w:r w:rsidRPr="00C379C8">
              <w:t>identification of sources of chemical safety threats;</w:t>
            </w:r>
          </w:p>
          <w:p w:rsidR="00EE3A11" w:rsidRPr="00C379C8" w:rsidRDefault="005F03F9" w:rsidP="002F6A28">
            <w:pPr>
              <w:numPr>
                <w:ilvl w:val="0"/>
                <w:numId w:val="16"/>
              </w:numPr>
              <w:spacing w:before="120" w:after="120"/>
              <w:jc w:val="left"/>
            </w:pPr>
            <w:r w:rsidRPr="00C379C8">
              <w:t>introduction of chemical safety guarantees;</w:t>
            </w:r>
          </w:p>
          <w:p w:rsidR="00EE3A11" w:rsidRPr="00C379C8" w:rsidRDefault="005F03F9" w:rsidP="002F6A28">
            <w:pPr>
              <w:numPr>
                <w:ilvl w:val="0"/>
                <w:numId w:val="16"/>
              </w:numPr>
              <w:spacing w:before="120" w:after="120"/>
              <w:jc w:val="left"/>
            </w:pPr>
            <w:r w:rsidRPr="00C379C8">
              <w:t>classification and standardization in the field of chemical safety;</w:t>
            </w:r>
          </w:p>
          <w:p w:rsidR="00EE3A11" w:rsidRPr="00C379C8" w:rsidRDefault="005F03F9" w:rsidP="002F6A28">
            <w:pPr>
              <w:numPr>
                <w:ilvl w:val="0"/>
                <w:numId w:val="16"/>
              </w:numPr>
              <w:spacing w:before="120" w:after="120"/>
              <w:jc w:val="left"/>
            </w:pPr>
            <w:r w:rsidRPr="00C379C8">
              <w:t>functioning of the information system in the field of chemical safety;</w:t>
            </w:r>
          </w:p>
          <w:p w:rsidR="00EE3A11" w:rsidRPr="00C379C8" w:rsidRDefault="005F03F9" w:rsidP="002F6A28">
            <w:pPr>
              <w:numPr>
                <w:ilvl w:val="0"/>
                <w:numId w:val="16"/>
              </w:numPr>
              <w:spacing w:before="120" w:after="120"/>
              <w:jc w:val="left"/>
            </w:pPr>
            <w:r w:rsidRPr="00C379C8">
              <w:t>production and handling of chemical products;</w:t>
            </w:r>
          </w:p>
          <w:p w:rsidR="00EE3A11" w:rsidRPr="00C379C8" w:rsidRDefault="005F03F9" w:rsidP="002F6A28">
            <w:pPr>
              <w:numPr>
                <w:ilvl w:val="0"/>
                <w:numId w:val="16"/>
              </w:numPr>
              <w:spacing w:before="120" w:after="120"/>
              <w:jc w:val="left"/>
            </w:pPr>
            <w:r w:rsidRPr="00C379C8">
              <w:t>chemical safety plans and programs;</w:t>
            </w:r>
          </w:p>
          <w:p w:rsidR="00EE3A11" w:rsidRPr="00C379C8" w:rsidRDefault="005F03F9" w:rsidP="002F6A28">
            <w:pPr>
              <w:numPr>
                <w:ilvl w:val="0"/>
                <w:numId w:val="16"/>
              </w:numPr>
              <w:spacing w:before="120" w:after="120"/>
              <w:jc w:val="left"/>
            </w:pPr>
            <w:r w:rsidRPr="00C379C8">
              <w:lastRenderedPageBreak/>
              <w:t>financial and economic instruments in the field of chemical safety;</w:t>
            </w:r>
          </w:p>
          <w:p w:rsidR="00EE3A11" w:rsidRPr="00C379C8" w:rsidRDefault="005F03F9" w:rsidP="002F6A28">
            <w:pPr>
              <w:numPr>
                <w:ilvl w:val="0"/>
                <w:numId w:val="16"/>
              </w:numPr>
              <w:spacing w:before="120" w:after="120"/>
              <w:jc w:val="left"/>
            </w:pPr>
            <w:r w:rsidRPr="00C379C8">
              <w:t>education, research and information support in the field of chemical safety;</w:t>
            </w:r>
          </w:p>
          <w:p w:rsidR="00EE3A11" w:rsidRPr="00C379C8" w:rsidRDefault="005F03F9" w:rsidP="002F6A28">
            <w:pPr>
              <w:numPr>
                <w:ilvl w:val="0"/>
                <w:numId w:val="16"/>
              </w:numPr>
              <w:spacing w:before="120" w:after="120"/>
              <w:jc w:val="left"/>
            </w:pPr>
            <w:r w:rsidRPr="00C379C8">
              <w:t>liability for violations of chemical safety legislation;</w:t>
            </w:r>
          </w:p>
          <w:p w:rsidR="00EE3A11" w:rsidRPr="00C379C8" w:rsidRDefault="005F03F9" w:rsidP="002F6A28">
            <w:pPr>
              <w:numPr>
                <w:ilvl w:val="0"/>
                <w:numId w:val="16"/>
              </w:numPr>
              <w:spacing w:before="120" w:after="120"/>
              <w:jc w:val="left"/>
            </w:pPr>
            <w:r w:rsidRPr="00C379C8">
              <w:t>international cooperation in the field of chemical safety.</w:t>
            </w:r>
          </w:p>
          <w:p w:rsidR="00EE3A11" w:rsidRPr="00C379C8" w:rsidRDefault="005F03F9" w:rsidP="002F6A28">
            <w:pPr>
              <w:spacing w:before="120" w:after="120"/>
            </w:pPr>
            <w:r w:rsidRPr="00C379C8">
              <w:t>National security requirements; Protection of human health or safety</w:t>
            </w:r>
            <w:bookmarkStart w:id="27" w:name="sps7f"/>
            <w:bookmarkEnd w:id="27"/>
          </w:p>
        </w:tc>
      </w:tr>
      <w:tr w:rsidR="00FC0E55" w:rsidTr="0069259F">
        <w:tc>
          <w:tcPr>
            <w:tcW w:w="713" w:type="dxa"/>
            <w:tcBorders>
              <w:top w:val="single" w:sz="6" w:space="0" w:color="auto"/>
              <w:bottom w:val="single" w:sz="6" w:space="0" w:color="auto"/>
            </w:tcBorders>
            <w:shd w:val="clear" w:color="auto" w:fill="auto"/>
          </w:tcPr>
          <w:p w:rsidR="00F85C99" w:rsidRPr="002F6A28" w:rsidRDefault="005F03F9"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rsidR="00072B36" w:rsidRPr="002F6A28" w:rsidRDefault="005F03F9"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rsidR="00E03ED2" w:rsidRPr="002F6A28" w:rsidRDefault="005F03F9" w:rsidP="009E75ED">
            <w:pPr>
              <w:numPr>
                <w:ilvl w:val="0"/>
                <w:numId w:val="17"/>
              </w:numPr>
              <w:spacing w:before="120" w:after="120"/>
              <w:jc w:val="left"/>
              <w:rPr>
                <w:bCs/>
              </w:rPr>
            </w:pPr>
            <w:r w:rsidRPr="002F6A28">
              <w:rPr>
                <w:bCs/>
              </w:rPr>
              <w:t>Basel Convention on the Control of Transboundary Movements of Hazardous Wastes and their Disposal</w:t>
            </w:r>
          </w:p>
          <w:p w:rsidR="00E03ED2" w:rsidRPr="002F6A28" w:rsidRDefault="005F03F9" w:rsidP="009E75ED">
            <w:pPr>
              <w:numPr>
                <w:ilvl w:val="0"/>
                <w:numId w:val="17"/>
              </w:numPr>
              <w:spacing w:before="120" w:after="120"/>
              <w:jc w:val="left"/>
              <w:rPr>
                <w:bCs/>
              </w:rPr>
            </w:pPr>
            <w:r w:rsidRPr="002F6A28">
              <w:rPr>
                <w:bCs/>
              </w:rPr>
              <w:t>Rotterdam Convention on the Prior Informed Consent Procedure for Certain Hazardous Chemicals and Pesticides in International Trade</w:t>
            </w:r>
          </w:p>
          <w:p w:rsidR="00E03ED2" w:rsidRPr="002F6A28" w:rsidRDefault="005F03F9" w:rsidP="009E75ED">
            <w:pPr>
              <w:numPr>
                <w:ilvl w:val="0"/>
                <w:numId w:val="17"/>
              </w:numPr>
              <w:spacing w:before="120" w:after="120"/>
              <w:jc w:val="left"/>
              <w:rPr>
                <w:bCs/>
              </w:rPr>
            </w:pPr>
            <w:r w:rsidRPr="002F6A28">
              <w:rPr>
                <w:bCs/>
              </w:rPr>
              <w:t>Stockholm Convention on persistent organic pollutions (POPs)</w:t>
            </w:r>
          </w:p>
        </w:tc>
      </w:tr>
      <w:tr w:rsidR="00FC0E55" w:rsidTr="00AE6CC8">
        <w:trPr>
          <w:cantSplit/>
        </w:trPr>
        <w:tc>
          <w:tcPr>
            <w:tcW w:w="713" w:type="dxa"/>
            <w:tcBorders>
              <w:top w:val="single" w:sz="6" w:space="0" w:color="auto"/>
              <w:bottom w:val="single" w:sz="6" w:space="0" w:color="auto"/>
            </w:tcBorders>
            <w:shd w:val="clear" w:color="auto" w:fill="auto"/>
          </w:tcPr>
          <w:p w:rsidR="00EE3A11" w:rsidRPr="002F6A28" w:rsidRDefault="005F03F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5F03F9"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rsidR="00EE3A11" w:rsidRPr="002F6A28" w:rsidRDefault="005F03F9"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FC0E55" w:rsidTr="0069259F">
        <w:tc>
          <w:tcPr>
            <w:tcW w:w="713" w:type="dxa"/>
            <w:tcBorders>
              <w:top w:val="single" w:sz="6" w:space="0" w:color="auto"/>
              <w:bottom w:val="single" w:sz="6" w:space="0" w:color="auto"/>
            </w:tcBorders>
            <w:shd w:val="clear" w:color="auto" w:fill="auto"/>
          </w:tcPr>
          <w:p w:rsidR="00F85C99" w:rsidRPr="002F6A28" w:rsidRDefault="005F03F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5F03F9" w:rsidP="002F6A28">
            <w:pPr>
              <w:spacing w:before="120" w:after="120"/>
            </w:pPr>
            <w:bookmarkStart w:id="35" w:name="X_TBT_Reg_10A"/>
            <w:r w:rsidRPr="002F6A28">
              <w:rPr>
                <w:b/>
              </w:rPr>
              <w:t>Final date for comments</w:t>
            </w:r>
            <w:bookmarkEnd w:id="35"/>
            <w:r w:rsidRPr="002F6A28">
              <w:rPr>
                <w:b/>
              </w:rPr>
              <w:t>:</w:t>
            </w:r>
            <w:r w:rsidR="00EE3A11" w:rsidRPr="00C379C8">
              <w:t xml:space="preserve"> 8 February 2021</w:t>
            </w:r>
            <w:bookmarkStart w:id="36" w:name="sps12a"/>
            <w:bookmarkEnd w:id="36"/>
          </w:p>
        </w:tc>
      </w:tr>
      <w:tr w:rsidR="00FC0E55" w:rsidTr="0069259F">
        <w:tc>
          <w:tcPr>
            <w:tcW w:w="713" w:type="dxa"/>
            <w:tcBorders>
              <w:top w:val="single" w:sz="6" w:space="0" w:color="auto"/>
            </w:tcBorders>
            <w:shd w:val="clear" w:color="auto" w:fill="auto"/>
          </w:tcPr>
          <w:p w:rsidR="00F85C99" w:rsidRPr="002F6A28" w:rsidRDefault="005F03F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5F03F9"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rsidR="00E03ED2" w:rsidRPr="002F6A28" w:rsidRDefault="005F03F9" w:rsidP="00B16145">
            <w:pPr>
              <w:keepNext/>
              <w:keepLines/>
              <w:spacing w:before="120" w:after="120"/>
              <w:jc w:val="left"/>
            </w:pPr>
            <w:r w:rsidRPr="002F6A28">
              <w:t>The text is available in Ukrainian at the official web-site of the Ministry of Environmental Protection and Natural Resources of Ukraine:</w:t>
            </w:r>
            <w:r w:rsidRPr="002F6A28">
              <w:br/>
            </w:r>
            <w:hyperlink r:id="rId7" w:history="1">
              <w:r w:rsidRPr="002F6A28">
                <w:rPr>
                  <w:color w:val="0000FF"/>
                  <w:u w:val="single"/>
                </w:rPr>
                <w:t>https://mepr.gov.ua/news/36455.html</w:t>
              </w:r>
            </w:hyperlink>
            <w:bookmarkEnd w:id="40"/>
          </w:p>
        </w:tc>
      </w:tr>
    </w:tbl>
    <w:p w:rsidR="00EE3A11" w:rsidRPr="002F6A28" w:rsidRDefault="00EE3A11" w:rsidP="002F6A28"/>
    <w:sectPr w:rsidR="00EE3A11" w:rsidRPr="002F6A28" w:rsidSect="00760DB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B74" w:rsidRDefault="005F03F9">
      <w:r>
        <w:separator/>
      </w:r>
    </w:p>
  </w:endnote>
  <w:endnote w:type="continuationSeparator" w:id="0">
    <w:p w:rsidR="00865B74" w:rsidRDefault="005F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5F03F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5F03F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5F03F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B74" w:rsidRDefault="005F03F9">
      <w:r>
        <w:separator/>
      </w:r>
    </w:p>
  </w:footnote>
  <w:footnote w:type="continuationSeparator" w:id="0">
    <w:p w:rsidR="00865B74" w:rsidRDefault="005F0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5F03F9" w:rsidP="009239F7">
    <w:pPr>
      <w:pStyle w:val="Header"/>
      <w:pBdr>
        <w:bottom w:val="single" w:sz="4" w:space="1" w:color="auto"/>
      </w:pBdr>
      <w:tabs>
        <w:tab w:val="clear" w:pos="4513"/>
        <w:tab w:val="clear" w:pos="9027"/>
      </w:tabs>
      <w:jc w:val="center"/>
    </w:pPr>
    <w:r w:rsidRPr="002F6A28">
      <w:t>tbtSymbol</w:t>
    </w:r>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5F03F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5F03F9" w:rsidP="009239F7">
    <w:pPr>
      <w:pStyle w:val="Header"/>
      <w:pBdr>
        <w:bottom w:val="single" w:sz="4" w:space="1" w:color="auto"/>
      </w:pBdr>
      <w:tabs>
        <w:tab w:val="clear" w:pos="4513"/>
        <w:tab w:val="clear" w:pos="9027"/>
      </w:tabs>
      <w:jc w:val="center"/>
    </w:pPr>
    <w:bookmarkStart w:id="41" w:name="spsSymbolHeader"/>
    <w:r w:rsidRPr="002F6A28">
      <w:t>G/TBT/N/UKR/176</w:t>
    </w:r>
    <w:bookmarkEnd w:id="41"/>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5F03F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C0E55"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42"/>
    <w:tr w:rsidR="00FC0E55" w:rsidTr="008612A9">
      <w:trPr>
        <w:trHeight w:val="213"/>
        <w:jc w:val="center"/>
      </w:trPr>
      <w:tc>
        <w:tcPr>
          <w:tcW w:w="3794" w:type="dxa"/>
          <w:vMerge w:val="restart"/>
          <w:shd w:val="clear" w:color="auto" w:fill="FFFFFF"/>
          <w:tcMar>
            <w:left w:w="0" w:type="dxa"/>
            <w:right w:w="0" w:type="dxa"/>
          </w:tcMar>
        </w:tcPr>
        <w:p w:rsidR="00ED54E0" w:rsidRPr="009239F7" w:rsidRDefault="005F03F9" w:rsidP="00B801E9">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30246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FC0E55"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5F03F9" w:rsidP="00B801E9">
          <w:pPr>
            <w:jc w:val="right"/>
            <w:rPr>
              <w:b/>
              <w:szCs w:val="16"/>
            </w:rPr>
          </w:pPr>
          <w:bookmarkStart w:id="43" w:name="bmkSymbols"/>
          <w:r w:rsidRPr="002F6A28">
            <w:rPr>
              <w:b/>
              <w:szCs w:val="16"/>
            </w:rPr>
            <w:t>G/TBT/N/UKR/176</w:t>
          </w:r>
          <w:bookmarkEnd w:id="43"/>
        </w:p>
      </w:tc>
    </w:tr>
    <w:tr w:rsidR="00FC0E55"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5F03F9" w:rsidP="00B801E9">
          <w:pPr>
            <w:jc w:val="right"/>
            <w:rPr>
              <w:szCs w:val="16"/>
            </w:rPr>
          </w:pPr>
          <w:bookmarkStart w:id="44" w:name="spsDateDistribution"/>
          <w:bookmarkStart w:id="45" w:name="bmkDate"/>
          <w:bookmarkEnd w:id="44"/>
          <w:bookmarkEnd w:id="45"/>
          <w:r>
            <w:rPr>
              <w:szCs w:val="16"/>
            </w:rPr>
            <w:t>21 December 2020</w:t>
          </w:r>
        </w:p>
      </w:tc>
    </w:tr>
    <w:tr w:rsidR="00FC0E55"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5F03F9" w:rsidP="0097650D">
          <w:pPr>
            <w:jc w:val="left"/>
            <w:rPr>
              <w:b/>
            </w:rPr>
          </w:pPr>
          <w:bookmarkStart w:id="46" w:name="bmkSerial"/>
          <w:r w:rsidRPr="002F6A28">
            <w:rPr>
              <w:color w:val="FF0000"/>
              <w:szCs w:val="16"/>
            </w:rPr>
            <w:t>(</w:t>
          </w:r>
          <w:bookmarkStart w:id="47" w:name="spsSerialNumber"/>
          <w:bookmarkEnd w:id="47"/>
          <w:r>
            <w:rPr>
              <w:color w:val="FF0000"/>
              <w:szCs w:val="16"/>
            </w:rPr>
            <w:t>20-</w:t>
          </w:r>
          <w:r w:rsidR="00075970">
            <w:rPr>
              <w:color w:val="FF0000"/>
              <w:szCs w:val="16"/>
            </w:rPr>
            <w:t>9214</w:t>
          </w:r>
          <w:bookmarkStart w:id="48" w:name="_GoBack"/>
          <w:bookmarkEnd w:id="48"/>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rsidR="00ED54E0" w:rsidRPr="009239F7" w:rsidRDefault="005F03F9"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FC0E55"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5F03F9"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rsidR="00ED54E0" w:rsidRPr="002F6A28" w:rsidRDefault="005F03F9"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6783726">
      <w:start w:val="1"/>
      <w:numFmt w:val="decimal"/>
      <w:pStyle w:val="SummaryText"/>
      <w:lvlText w:val="%1."/>
      <w:lvlJc w:val="left"/>
      <w:pPr>
        <w:ind w:left="360" w:hanging="360"/>
      </w:pPr>
    </w:lvl>
    <w:lvl w:ilvl="1" w:tplc="313AFD04" w:tentative="1">
      <w:start w:val="1"/>
      <w:numFmt w:val="lowerLetter"/>
      <w:lvlText w:val="%2."/>
      <w:lvlJc w:val="left"/>
      <w:pPr>
        <w:ind w:left="1080" w:hanging="360"/>
      </w:pPr>
    </w:lvl>
    <w:lvl w:ilvl="2" w:tplc="21BEBACC" w:tentative="1">
      <w:start w:val="1"/>
      <w:numFmt w:val="lowerRoman"/>
      <w:lvlText w:val="%3."/>
      <w:lvlJc w:val="right"/>
      <w:pPr>
        <w:ind w:left="1800" w:hanging="180"/>
      </w:pPr>
    </w:lvl>
    <w:lvl w:ilvl="3" w:tplc="9260D726" w:tentative="1">
      <w:start w:val="1"/>
      <w:numFmt w:val="decimal"/>
      <w:lvlText w:val="%4."/>
      <w:lvlJc w:val="left"/>
      <w:pPr>
        <w:ind w:left="2520" w:hanging="360"/>
      </w:pPr>
    </w:lvl>
    <w:lvl w:ilvl="4" w:tplc="803E54C0" w:tentative="1">
      <w:start w:val="1"/>
      <w:numFmt w:val="lowerLetter"/>
      <w:lvlText w:val="%5."/>
      <w:lvlJc w:val="left"/>
      <w:pPr>
        <w:ind w:left="3240" w:hanging="360"/>
      </w:pPr>
    </w:lvl>
    <w:lvl w:ilvl="5" w:tplc="B5CA8022" w:tentative="1">
      <w:start w:val="1"/>
      <w:numFmt w:val="lowerRoman"/>
      <w:lvlText w:val="%6."/>
      <w:lvlJc w:val="right"/>
      <w:pPr>
        <w:ind w:left="3960" w:hanging="180"/>
      </w:pPr>
    </w:lvl>
    <w:lvl w:ilvl="6" w:tplc="3D4267A6" w:tentative="1">
      <w:start w:val="1"/>
      <w:numFmt w:val="decimal"/>
      <w:lvlText w:val="%7."/>
      <w:lvlJc w:val="left"/>
      <w:pPr>
        <w:ind w:left="4680" w:hanging="360"/>
      </w:pPr>
    </w:lvl>
    <w:lvl w:ilvl="7" w:tplc="EAC64C3E" w:tentative="1">
      <w:start w:val="1"/>
      <w:numFmt w:val="lowerLetter"/>
      <w:lvlText w:val="%8."/>
      <w:lvlJc w:val="left"/>
      <w:pPr>
        <w:ind w:left="5400" w:hanging="360"/>
      </w:pPr>
    </w:lvl>
    <w:lvl w:ilvl="8" w:tplc="6142B852"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DF16E758">
      <w:start w:val="1"/>
      <w:numFmt w:val="bullet"/>
      <w:lvlText w:val=""/>
      <w:lvlJc w:val="left"/>
      <w:pPr>
        <w:ind w:left="720" w:hanging="360"/>
      </w:pPr>
      <w:rPr>
        <w:rFonts w:ascii="Symbol" w:hAnsi="Symbol"/>
      </w:rPr>
    </w:lvl>
    <w:lvl w:ilvl="1" w:tplc="96B8849E">
      <w:start w:val="1"/>
      <w:numFmt w:val="bullet"/>
      <w:lvlText w:val="o"/>
      <w:lvlJc w:val="left"/>
      <w:pPr>
        <w:tabs>
          <w:tab w:val="num" w:pos="1440"/>
        </w:tabs>
        <w:ind w:left="1440" w:hanging="360"/>
      </w:pPr>
      <w:rPr>
        <w:rFonts w:ascii="Courier New" w:hAnsi="Courier New"/>
      </w:rPr>
    </w:lvl>
    <w:lvl w:ilvl="2" w:tplc="227E9200">
      <w:start w:val="1"/>
      <w:numFmt w:val="bullet"/>
      <w:lvlText w:val=""/>
      <w:lvlJc w:val="left"/>
      <w:pPr>
        <w:tabs>
          <w:tab w:val="num" w:pos="2160"/>
        </w:tabs>
        <w:ind w:left="2160" w:hanging="360"/>
      </w:pPr>
      <w:rPr>
        <w:rFonts w:ascii="Wingdings" w:hAnsi="Wingdings"/>
      </w:rPr>
    </w:lvl>
    <w:lvl w:ilvl="3" w:tplc="9B1645F4">
      <w:start w:val="1"/>
      <w:numFmt w:val="bullet"/>
      <w:lvlText w:val=""/>
      <w:lvlJc w:val="left"/>
      <w:pPr>
        <w:tabs>
          <w:tab w:val="num" w:pos="2880"/>
        </w:tabs>
        <w:ind w:left="2880" w:hanging="360"/>
      </w:pPr>
      <w:rPr>
        <w:rFonts w:ascii="Symbol" w:hAnsi="Symbol"/>
      </w:rPr>
    </w:lvl>
    <w:lvl w:ilvl="4" w:tplc="1E2261D2">
      <w:start w:val="1"/>
      <w:numFmt w:val="bullet"/>
      <w:lvlText w:val="o"/>
      <w:lvlJc w:val="left"/>
      <w:pPr>
        <w:tabs>
          <w:tab w:val="num" w:pos="3600"/>
        </w:tabs>
        <w:ind w:left="3600" w:hanging="360"/>
      </w:pPr>
      <w:rPr>
        <w:rFonts w:ascii="Courier New" w:hAnsi="Courier New"/>
      </w:rPr>
    </w:lvl>
    <w:lvl w:ilvl="5" w:tplc="38103000">
      <w:start w:val="1"/>
      <w:numFmt w:val="bullet"/>
      <w:lvlText w:val=""/>
      <w:lvlJc w:val="left"/>
      <w:pPr>
        <w:tabs>
          <w:tab w:val="num" w:pos="4320"/>
        </w:tabs>
        <w:ind w:left="4320" w:hanging="360"/>
      </w:pPr>
      <w:rPr>
        <w:rFonts w:ascii="Wingdings" w:hAnsi="Wingdings"/>
      </w:rPr>
    </w:lvl>
    <w:lvl w:ilvl="6" w:tplc="DD300FF2">
      <w:start w:val="1"/>
      <w:numFmt w:val="bullet"/>
      <w:lvlText w:val=""/>
      <w:lvlJc w:val="left"/>
      <w:pPr>
        <w:tabs>
          <w:tab w:val="num" w:pos="5040"/>
        </w:tabs>
        <w:ind w:left="5040" w:hanging="360"/>
      </w:pPr>
      <w:rPr>
        <w:rFonts w:ascii="Symbol" w:hAnsi="Symbol"/>
      </w:rPr>
    </w:lvl>
    <w:lvl w:ilvl="7" w:tplc="1AF0EA1A">
      <w:start w:val="1"/>
      <w:numFmt w:val="bullet"/>
      <w:lvlText w:val="o"/>
      <w:lvlJc w:val="left"/>
      <w:pPr>
        <w:tabs>
          <w:tab w:val="num" w:pos="5760"/>
        </w:tabs>
        <w:ind w:left="5760" w:hanging="360"/>
      </w:pPr>
      <w:rPr>
        <w:rFonts w:ascii="Courier New" w:hAnsi="Courier New"/>
      </w:rPr>
    </w:lvl>
    <w:lvl w:ilvl="8" w:tplc="7FB2378A">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06C4C56E">
      <w:start w:val="1"/>
      <w:numFmt w:val="bullet"/>
      <w:lvlText w:val=""/>
      <w:lvlJc w:val="left"/>
      <w:pPr>
        <w:ind w:left="720" w:hanging="360"/>
      </w:pPr>
      <w:rPr>
        <w:rFonts w:ascii="Symbol" w:hAnsi="Symbol"/>
      </w:rPr>
    </w:lvl>
    <w:lvl w:ilvl="1" w:tplc="AB709DD4">
      <w:start w:val="1"/>
      <w:numFmt w:val="bullet"/>
      <w:lvlText w:val="o"/>
      <w:lvlJc w:val="left"/>
      <w:pPr>
        <w:tabs>
          <w:tab w:val="num" w:pos="1440"/>
        </w:tabs>
        <w:ind w:left="1440" w:hanging="360"/>
      </w:pPr>
      <w:rPr>
        <w:rFonts w:ascii="Courier New" w:hAnsi="Courier New"/>
      </w:rPr>
    </w:lvl>
    <w:lvl w:ilvl="2" w:tplc="7234D83E">
      <w:start w:val="1"/>
      <w:numFmt w:val="bullet"/>
      <w:lvlText w:val=""/>
      <w:lvlJc w:val="left"/>
      <w:pPr>
        <w:tabs>
          <w:tab w:val="num" w:pos="2160"/>
        </w:tabs>
        <w:ind w:left="2160" w:hanging="360"/>
      </w:pPr>
      <w:rPr>
        <w:rFonts w:ascii="Wingdings" w:hAnsi="Wingdings"/>
      </w:rPr>
    </w:lvl>
    <w:lvl w:ilvl="3" w:tplc="3E1076DC">
      <w:start w:val="1"/>
      <w:numFmt w:val="bullet"/>
      <w:lvlText w:val=""/>
      <w:lvlJc w:val="left"/>
      <w:pPr>
        <w:tabs>
          <w:tab w:val="num" w:pos="2880"/>
        </w:tabs>
        <w:ind w:left="2880" w:hanging="360"/>
      </w:pPr>
      <w:rPr>
        <w:rFonts w:ascii="Symbol" w:hAnsi="Symbol"/>
      </w:rPr>
    </w:lvl>
    <w:lvl w:ilvl="4" w:tplc="36AA9366">
      <w:start w:val="1"/>
      <w:numFmt w:val="bullet"/>
      <w:lvlText w:val="o"/>
      <w:lvlJc w:val="left"/>
      <w:pPr>
        <w:tabs>
          <w:tab w:val="num" w:pos="3600"/>
        </w:tabs>
        <w:ind w:left="3600" w:hanging="360"/>
      </w:pPr>
      <w:rPr>
        <w:rFonts w:ascii="Courier New" w:hAnsi="Courier New"/>
      </w:rPr>
    </w:lvl>
    <w:lvl w:ilvl="5" w:tplc="4186459E">
      <w:start w:val="1"/>
      <w:numFmt w:val="bullet"/>
      <w:lvlText w:val=""/>
      <w:lvlJc w:val="left"/>
      <w:pPr>
        <w:tabs>
          <w:tab w:val="num" w:pos="4320"/>
        </w:tabs>
        <w:ind w:left="4320" w:hanging="360"/>
      </w:pPr>
      <w:rPr>
        <w:rFonts w:ascii="Wingdings" w:hAnsi="Wingdings"/>
      </w:rPr>
    </w:lvl>
    <w:lvl w:ilvl="6" w:tplc="1040C838">
      <w:start w:val="1"/>
      <w:numFmt w:val="bullet"/>
      <w:lvlText w:val=""/>
      <w:lvlJc w:val="left"/>
      <w:pPr>
        <w:tabs>
          <w:tab w:val="num" w:pos="5040"/>
        </w:tabs>
        <w:ind w:left="5040" w:hanging="360"/>
      </w:pPr>
      <w:rPr>
        <w:rFonts w:ascii="Symbol" w:hAnsi="Symbol"/>
      </w:rPr>
    </w:lvl>
    <w:lvl w:ilvl="7" w:tplc="9214B522">
      <w:start w:val="1"/>
      <w:numFmt w:val="bullet"/>
      <w:lvlText w:val="o"/>
      <w:lvlJc w:val="left"/>
      <w:pPr>
        <w:tabs>
          <w:tab w:val="num" w:pos="5760"/>
        </w:tabs>
        <w:ind w:left="5760" w:hanging="360"/>
      </w:pPr>
      <w:rPr>
        <w:rFonts w:ascii="Courier New" w:hAnsi="Courier New"/>
      </w:rPr>
    </w:lvl>
    <w:lvl w:ilvl="8" w:tplc="4A6691BE">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5970"/>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B7AD8"/>
    <w:rsid w:val="005C5BA4"/>
    <w:rsid w:val="005D5981"/>
    <w:rsid w:val="005F03F9"/>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65B74"/>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328F7"/>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03ED2"/>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0E55"/>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pr.gov.ua/news/36455.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2020-12-21T08:40:00Z</dcterms:created>
  <dcterms:modified xsi:type="dcterms:W3CDTF">2020-12-21T08:50:00Z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da5141a5-c654-49e5-ac17-a253794fe64f</vt:lpwstr>
  </property>
  <property fmtid="{D5CDD505-2E9C-101B-9397-08002B2CF9AE}" pid="4" name="WTOCLASSIFICATION">
    <vt:lpwstr>WTO OFFICIAL</vt:lpwstr>
  </property>
</Properties>
</file>