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53F167" w14:textId="77777777" w:rsidR="009239F7" w:rsidRPr="002F6A28" w:rsidRDefault="00874B00" w:rsidP="002F6A28">
      <w:pPr>
        <w:pStyle w:val="Title"/>
        <w:rPr>
          <w:caps w:val="0"/>
          <w:kern w:val="0"/>
        </w:rPr>
      </w:pPr>
      <w:r w:rsidRPr="002F6A28">
        <w:rPr>
          <w:caps w:val="0"/>
          <w:kern w:val="0"/>
        </w:rPr>
        <w:t>NOTIFICATION</w:t>
      </w:r>
    </w:p>
    <w:p w14:paraId="0D60E09A" w14:textId="77777777" w:rsidR="009239F7" w:rsidRPr="002F6A28" w:rsidRDefault="00874B00" w:rsidP="002F6A28">
      <w:pPr>
        <w:jc w:val="center"/>
      </w:pPr>
      <w:r w:rsidRPr="002F6A28">
        <w:t>The following notification is being circulated in accordance with Article 10.6</w:t>
      </w:r>
    </w:p>
    <w:p w14:paraId="589521E0"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0741D4" w14:paraId="4DFA906F" w14:textId="77777777" w:rsidTr="0069259F">
        <w:tc>
          <w:tcPr>
            <w:tcW w:w="713" w:type="dxa"/>
            <w:tcBorders>
              <w:bottom w:val="single" w:sz="6" w:space="0" w:color="auto"/>
            </w:tcBorders>
            <w:shd w:val="clear" w:color="auto" w:fill="auto"/>
          </w:tcPr>
          <w:p w14:paraId="6C417579" w14:textId="77777777" w:rsidR="00F85C99" w:rsidRPr="002F6A28" w:rsidRDefault="00874B00" w:rsidP="002F6A28">
            <w:pPr>
              <w:spacing w:before="120" w:after="120"/>
              <w:jc w:val="left"/>
            </w:pPr>
            <w:r w:rsidRPr="002F6A28">
              <w:rPr>
                <w:b/>
              </w:rPr>
              <w:t>1.</w:t>
            </w:r>
          </w:p>
        </w:tc>
        <w:tc>
          <w:tcPr>
            <w:tcW w:w="8546" w:type="dxa"/>
            <w:tcBorders>
              <w:bottom w:val="single" w:sz="6" w:space="0" w:color="auto"/>
            </w:tcBorders>
            <w:shd w:val="clear" w:color="auto" w:fill="auto"/>
          </w:tcPr>
          <w:p w14:paraId="2644A0C3" w14:textId="77777777" w:rsidR="00F85C99" w:rsidRPr="002F6A28" w:rsidRDefault="00874B00"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European Union</w:t>
            </w:r>
            <w:bookmarkEnd w:id="1"/>
            <w:r w:rsidRPr="002F6A28">
              <w:t xml:space="preserve"> </w:t>
            </w:r>
          </w:p>
          <w:p w14:paraId="31D831C8" w14:textId="77777777" w:rsidR="00F85C99" w:rsidRPr="002F6A28" w:rsidRDefault="00874B00"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0741D4" w:rsidRPr="00E949E6" w14:paraId="6A8D3954" w14:textId="77777777" w:rsidTr="0069259F">
        <w:tc>
          <w:tcPr>
            <w:tcW w:w="713" w:type="dxa"/>
            <w:tcBorders>
              <w:top w:val="single" w:sz="6" w:space="0" w:color="auto"/>
              <w:bottom w:val="single" w:sz="6" w:space="0" w:color="auto"/>
            </w:tcBorders>
            <w:shd w:val="clear" w:color="auto" w:fill="auto"/>
          </w:tcPr>
          <w:p w14:paraId="2083D6CE" w14:textId="77777777" w:rsidR="00F85C99" w:rsidRPr="002F6A28" w:rsidRDefault="00874B00"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7CD46690" w14:textId="77777777" w:rsidR="00F85C99" w:rsidRPr="002F6A28" w:rsidRDefault="00874B00"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European Commission</w:t>
            </w:r>
            <w:bookmarkEnd w:id="5"/>
          </w:p>
          <w:p w14:paraId="7B6F9852" w14:textId="77777777" w:rsidR="00F85C99" w:rsidRPr="002F6A28" w:rsidRDefault="00874B00"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w:t>
            </w:r>
            <w:proofErr w:type="gramStart"/>
            <w:r w:rsidRPr="002F6A28">
              <w:rPr>
                <w:b/>
              </w:rPr>
              <w:t>email</w:t>
            </w:r>
            <w:proofErr w:type="gramEnd"/>
            <w:r w:rsidRPr="002F6A28">
              <w:rPr>
                <w:b/>
              </w:rPr>
              <w:t xml:space="preserve">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0333854B" w14:textId="77777777" w:rsidR="008F3944" w:rsidRPr="00E95F71" w:rsidRDefault="00874B00" w:rsidP="00AA646C">
            <w:pPr>
              <w:spacing w:after="120"/>
              <w:jc w:val="left"/>
              <w:rPr>
                <w:lang w:val="fr-CH"/>
              </w:rPr>
            </w:pPr>
            <w:proofErr w:type="spellStart"/>
            <w:r w:rsidRPr="00E95F71">
              <w:rPr>
                <w:lang w:val="fr-CH"/>
              </w:rPr>
              <w:t>European</w:t>
            </w:r>
            <w:proofErr w:type="spellEnd"/>
            <w:r w:rsidRPr="00E95F71">
              <w:rPr>
                <w:lang w:val="fr-CH"/>
              </w:rPr>
              <w:t xml:space="preserve"> Commission</w:t>
            </w:r>
            <w:r w:rsidRPr="00E95F71">
              <w:rPr>
                <w:lang w:val="fr-CH"/>
              </w:rPr>
              <w:br/>
              <w:t xml:space="preserve">EU-TBT </w:t>
            </w:r>
            <w:proofErr w:type="spellStart"/>
            <w:r w:rsidRPr="00E95F71">
              <w:rPr>
                <w:lang w:val="fr-CH"/>
              </w:rPr>
              <w:t>Enquiry</w:t>
            </w:r>
            <w:proofErr w:type="spellEnd"/>
            <w:r w:rsidRPr="00E95F71">
              <w:rPr>
                <w:lang w:val="fr-CH"/>
              </w:rPr>
              <w:t xml:space="preserve"> Point</w:t>
            </w:r>
            <w:r w:rsidRPr="00E95F71">
              <w:rPr>
                <w:lang w:val="fr-CH"/>
              </w:rPr>
              <w:br/>
              <w:t>Fax: +(32) 2 299 80 43</w:t>
            </w:r>
            <w:r w:rsidRPr="00E95F71">
              <w:rPr>
                <w:lang w:val="fr-CH"/>
              </w:rPr>
              <w:br/>
              <w:t xml:space="preserve">E-mail: </w:t>
            </w:r>
            <w:r w:rsidR="00E949E6">
              <w:fldChar w:fldCharType="begin"/>
            </w:r>
            <w:r w:rsidR="00E949E6" w:rsidRPr="00E949E6">
              <w:rPr>
                <w:lang w:val="fr-CH"/>
              </w:rPr>
              <w:instrText xml:space="preserve"> HYPERLINK "mailto:grow-eu-tbt@ec.europa.eu" </w:instrText>
            </w:r>
            <w:r w:rsidR="00E949E6">
              <w:fldChar w:fldCharType="separate"/>
            </w:r>
            <w:r w:rsidRPr="00E95F71">
              <w:rPr>
                <w:color w:val="0000FF"/>
                <w:u w:val="single"/>
                <w:lang w:val="fr-CH"/>
              </w:rPr>
              <w:t>grow-eu-tbt@ec.europa.eu</w:t>
            </w:r>
            <w:r w:rsidR="00E949E6">
              <w:rPr>
                <w:color w:val="0000FF"/>
                <w:u w:val="single"/>
                <w:lang w:val="fr-CH"/>
              </w:rPr>
              <w:fldChar w:fldCharType="end"/>
            </w:r>
            <w:r w:rsidRPr="00E95F71">
              <w:rPr>
                <w:lang w:val="fr-CH"/>
              </w:rPr>
              <w:br/>
            </w:r>
            <w:proofErr w:type="spellStart"/>
            <w:r w:rsidRPr="00E95F71">
              <w:rPr>
                <w:lang w:val="fr-CH"/>
              </w:rPr>
              <w:t>Website</w:t>
            </w:r>
            <w:proofErr w:type="spellEnd"/>
            <w:r w:rsidRPr="00E95F71">
              <w:rPr>
                <w:lang w:val="fr-CH"/>
              </w:rPr>
              <w:t xml:space="preserve">: </w:t>
            </w:r>
            <w:r w:rsidR="00E949E6">
              <w:fldChar w:fldCharType="begin"/>
            </w:r>
            <w:r w:rsidR="00E949E6" w:rsidRPr="00E949E6">
              <w:rPr>
                <w:lang w:val="fr-CH"/>
              </w:rPr>
              <w:instrText xml:space="preserve"> HYPERLINK "http://ec.europa.eu/growth/tools-databases/tbt/en/" </w:instrText>
            </w:r>
            <w:r w:rsidR="00E949E6">
              <w:fldChar w:fldCharType="separate"/>
            </w:r>
            <w:r w:rsidRPr="00E95F71">
              <w:rPr>
                <w:color w:val="0000FF"/>
                <w:u w:val="single"/>
                <w:lang w:val="fr-CH"/>
              </w:rPr>
              <w:t>http://ec.europa.eu/growth/tools-databases/tbt/en/</w:t>
            </w:r>
            <w:r w:rsidR="00E949E6">
              <w:rPr>
                <w:color w:val="0000FF"/>
                <w:u w:val="single"/>
                <w:lang w:val="fr-CH"/>
              </w:rPr>
              <w:fldChar w:fldCharType="end"/>
            </w:r>
            <w:r w:rsidRPr="00E95F71">
              <w:rPr>
                <w:lang w:val="fr-CH"/>
              </w:rPr>
              <w:t xml:space="preserve"> </w:t>
            </w:r>
            <w:bookmarkEnd w:id="7"/>
          </w:p>
        </w:tc>
      </w:tr>
      <w:tr w:rsidR="000741D4" w14:paraId="2FD26DCD" w14:textId="77777777" w:rsidTr="0069259F">
        <w:tc>
          <w:tcPr>
            <w:tcW w:w="713" w:type="dxa"/>
            <w:tcBorders>
              <w:top w:val="single" w:sz="6" w:space="0" w:color="auto"/>
              <w:bottom w:val="single" w:sz="6" w:space="0" w:color="auto"/>
            </w:tcBorders>
            <w:shd w:val="clear" w:color="auto" w:fill="auto"/>
          </w:tcPr>
          <w:p w14:paraId="46DD365E" w14:textId="77777777" w:rsidR="00F85C99" w:rsidRPr="002F6A28" w:rsidRDefault="00874B00"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2F7B7F61" w14:textId="77777777" w:rsidR="00F85C99" w:rsidRPr="0058336F" w:rsidRDefault="00874B00"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proofErr w:type="gramStart"/>
            <w:r w:rsidRPr="002F6A28">
              <w:rPr>
                <w:b/>
              </w:rPr>
              <w:t>[</w:t>
            </w:r>
            <w:bookmarkStart w:id="11" w:name="tbt3b"/>
            <w:r w:rsidRPr="002F6A28">
              <w:rPr>
                <w:b/>
              </w:rPr>
              <w:t>  </w:t>
            </w:r>
            <w:bookmarkEnd w:id="11"/>
            <w:r w:rsidRPr="002F6A28">
              <w:rPr>
                <w:b/>
              </w:rPr>
              <w:t>]</w:t>
            </w:r>
            <w:proofErr w:type="gramEnd"/>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0741D4" w14:paraId="03EFF84C" w14:textId="77777777" w:rsidTr="0069259F">
        <w:tc>
          <w:tcPr>
            <w:tcW w:w="713" w:type="dxa"/>
            <w:tcBorders>
              <w:top w:val="single" w:sz="6" w:space="0" w:color="auto"/>
              <w:bottom w:val="single" w:sz="6" w:space="0" w:color="auto"/>
            </w:tcBorders>
            <w:shd w:val="clear" w:color="auto" w:fill="auto"/>
          </w:tcPr>
          <w:p w14:paraId="36CB28D7" w14:textId="77777777" w:rsidR="00F85C99" w:rsidRPr="002F6A28" w:rsidRDefault="00874B00"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2AEA9201" w14:textId="77777777" w:rsidR="00F85C99" w:rsidRPr="002F6A28" w:rsidRDefault="00874B00"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Batteries and waste batteries; Wastes (ICS 13.030), Galvanic cells and batteries (ICS 29.220)</w:t>
            </w:r>
            <w:bookmarkStart w:id="20" w:name="sps3a"/>
            <w:bookmarkEnd w:id="20"/>
          </w:p>
        </w:tc>
      </w:tr>
      <w:tr w:rsidR="000741D4" w14:paraId="36732E28" w14:textId="77777777" w:rsidTr="0069259F">
        <w:tc>
          <w:tcPr>
            <w:tcW w:w="713" w:type="dxa"/>
            <w:tcBorders>
              <w:top w:val="single" w:sz="6" w:space="0" w:color="auto"/>
              <w:bottom w:val="single" w:sz="6" w:space="0" w:color="auto"/>
            </w:tcBorders>
            <w:shd w:val="clear" w:color="auto" w:fill="auto"/>
          </w:tcPr>
          <w:p w14:paraId="28153D79" w14:textId="77777777" w:rsidR="00F85C99" w:rsidRPr="002F6A28" w:rsidRDefault="00874B00"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51E417D5" w14:textId="77777777" w:rsidR="00F85C99" w:rsidRPr="002F6A28" w:rsidRDefault="00874B00"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Proposal for a Regulation of the European Parliament and of the Council concerning batteries and waste batteries, repealing Directive 2006/66/EC and amending Regulation (EU) No 2019/1020 (COM(2020)798) (130 page(s), in English; 28 page(s), in English)</w:t>
            </w:r>
            <w:bookmarkStart w:id="22" w:name="sps5a"/>
            <w:bookmarkStart w:id="23" w:name="sps5c"/>
            <w:bookmarkStart w:id="24" w:name="sps5b"/>
            <w:bookmarkEnd w:id="22"/>
            <w:bookmarkEnd w:id="23"/>
            <w:bookmarkEnd w:id="24"/>
          </w:p>
        </w:tc>
      </w:tr>
      <w:tr w:rsidR="000741D4" w14:paraId="54BC5A63" w14:textId="77777777" w:rsidTr="0069259F">
        <w:tc>
          <w:tcPr>
            <w:tcW w:w="713" w:type="dxa"/>
            <w:tcBorders>
              <w:top w:val="single" w:sz="6" w:space="0" w:color="auto"/>
              <w:bottom w:val="single" w:sz="6" w:space="0" w:color="auto"/>
            </w:tcBorders>
            <w:shd w:val="clear" w:color="auto" w:fill="auto"/>
          </w:tcPr>
          <w:p w14:paraId="7BBE7DF5" w14:textId="77777777" w:rsidR="00F85C99" w:rsidRPr="002F6A28" w:rsidRDefault="00874B00"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55F32081" w14:textId="77777777" w:rsidR="00F85C99" w:rsidRPr="002F6A28" w:rsidRDefault="00874B00"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This draft Regulation concerns sustainability, safety, labelling and information requirements for the placing on the Union market of batteries as well as due diligence requirements for economic operators and requirements for the end-of-life treatment of waste batteries.</w:t>
            </w:r>
          </w:p>
          <w:p w14:paraId="6B32E27B" w14:textId="77777777" w:rsidR="00FE448B" w:rsidRPr="00C379C8" w:rsidRDefault="00874B00" w:rsidP="002F6A28">
            <w:pPr>
              <w:spacing w:after="120"/>
            </w:pPr>
            <w:r w:rsidRPr="00C379C8">
              <w:t xml:space="preserve">The product requirements concern specifically: restrictions of hazardous substances (all batteries), reporting, labelling and - to be specified by subsequent legislation - maximum level of carbon footprint over the life cycle (electric vehicle and industrial batteries), minimum level of recycled cobalt, lead, lithium and nickel (automotive, electric vehicle and industrial batteries), performance and durability (portable, electric vehicle and industrial batteries), removability and replaceability (portable batteries), safety (stationary battery energy storage systems), labelling (all batteries), information on the state of health and expected lifetime (electric vehicle and industrial batteries), and a battery passport (electric vehicle and industrial batteries). </w:t>
            </w:r>
          </w:p>
          <w:p w14:paraId="1A277EEC" w14:textId="77777777" w:rsidR="00FE448B" w:rsidRPr="00C379C8" w:rsidRDefault="00874B00" w:rsidP="002F6A28">
            <w:pPr>
              <w:spacing w:after="120"/>
            </w:pPr>
            <w:r w:rsidRPr="00C379C8">
              <w:t>It further contains a requirement for the economic operators that place electric vehicle and industrial batteries on the EU market to establish supply chain due diligence policies with regard to the sourcing of cobalt, natural graphite, lithium and nickel, and chemical compounds based on these necessary for the manufacturing of the active materials of batteries.</w:t>
            </w:r>
          </w:p>
          <w:p w14:paraId="783CEF7C" w14:textId="77777777" w:rsidR="00FE448B" w:rsidRPr="00C379C8" w:rsidRDefault="00874B00" w:rsidP="002F6A28">
            <w:pPr>
              <w:spacing w:before="120" w:after="120"/>
            </w:pPr>
            <w:r w:rsidRPr="00C379C8">
              <w:lastRenderedPageBreak/>
              <w:t>The requirements for the end-of-life management of batteries include: registration by producers, extended producer responsibility, collection of waste batteries, requirements related to treatment, recycling, repurposing and remanufacturing, providing end-of-life information, and reporting to competent authorities.</w:t>
            </w:r>
            <w:bookmarkStart w:id="26" w:name="sps6a"/>
            <w:bookmarkEnd w:id="26"/>
          </w:p>
        </w:tc>
      </w:tr>
      <w:tr w:rsidR="000741D4" w14:paraId="09660FB2" w14:textId="77777777" w:rsidTr="0069259F">
        <w:tc>
          <w:tcPr>
            <w:tcW w:w="713" w:type="dxa"/>
            <w:tcBorders>
              <w:top w:val="single" w:sz="6" w:space="0" w:color="auto"/>
              <w:bottom w:val="single" w:sz="6" w:space="0" w:color="auto"/>
            </w:tcBorders>
            <w:shd w:val="clear" w:color="auto" w:fill="auto"/>
          </w:tcPr>
          <w:p w14:paraId="58E468FF" w14:textId="77777777" w:rsidR="00F85C99" w:rsidRPr="002F6A28" w:rsidRDefault="00874B00"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4D9CE118" w14:textId="77777777" w:rsidR="00E95F71" w:rsidRDefault="00874B00" w:rsidP="002F6A28">
            <w:pPr>
              <w:spacing w:before="120" w:after="120"/>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Batteries are an important source of energy and one of the key enablers for sustainable development, green mobility, clean </w:t>
            </w:r>
            <w:proofErr w:type="gramStart"/>
            <w:r w:rsidR="00EE3A11" w:rsidRPr="00C379C8">
              <w:t>energy</w:t>
            </w:r>
            <w:proofErr w:type="gramEnd"/>
            <w:r w:rsidR="00EE3A11" w:rsidRPr="00C379C8">
              <w:t xml:space="preserve"> and climate neutrality. </w:t>
            </w:r>
            <w:proofErr w:type="gramStart"/>
            <w:r w:rsidR="00EE3A11" w:rsidRPr="00C379C8">
              <w:t>In order for</w:t>
            </w:r>
            <w:proofErr w:type="gramEnd"/>
            <w:r w:rsidR="00EE3A11" w:rsidRPr="00C379C8">
              <w:t xml:space="preserve"> the EU's product policies to contribute to these objectives, it needs to be ensured that batteries marketed and sold in the Union are sourced and manufactured in a sustainable manner. Addressing the entire life cycle of batteries placed on the EU market requires the setting up of harmonised product and marketing requirements, including conformity assessment procedures. The proposed supply chain due diligence policy aims to address the social and environmental risks that can be associated to the extraction, </w:t>
            </w:r>
            <w:proofErr w:type="gramStart"/>
            <w:r w:rsidR="00EE3A11" w:rsidRPr="00C379C8">
              <w:t>processing</w:t>
            </w:r>
            <w:proofErr w:type="gramEnd"/>
            <w:r w:rsidR="00EE3A11" w:rsidRPr="00C379C8">
              <w:t xml:space="preserve"> and trading of certain raw materials for battery manufacturing purposes. The increased use of recovered materials would support the development of the circular economy and allow a more resource-efficient use of materials. Ensuring a low carbon footprint of batteries addresses the fact that climate change is the second largest environmental impact for the life cycle of batteries (after the use of minerals and metals) and is necessary to ensure that the Union's objective to decarbonise the mobility and energy storage sectors is achieved, in line with the internationally agreed objectives on climate change. </w:t>
            </w:r>
          </w:p>
          <w:p w14:paraId="1674231F" w14:textId="77777777" w:rsidR="00E95F71" w:rsidRDefault="00874B00" w:rsidP="002F6A28">
            <w:pPr>
              <w:spacing w:before="120" w:after="120"/>
            </w:pPr>
            <w:r w:rsidRPr="00C379C8">
              <w:t xml:space="preserve">Further, batteries should be designed and manufactured </w:t>
            </w:r>
            <w:proofErr w:type="gramStart"/>
            <w:r w:rsidRPr="00C379C8">
              <w:t>so as to</w:t>
            </w:r>
            <w:proofErr w:type="gramEnd"/>
            <w:r w:rsidRPr="00C379C8">
              <w:t xml:space="preserve"> optimise their performance, durability and safety. The use of hazardous substances in batteries should be restricted </w:t>
            </w:r>
            <w:proofErr w:type="gramStart"/>
            <w:r w:rsidRPr="00C379C8">
              <w:t>in order to</w:t>
            </w:r>
            <w:proofErr w:type="gramEnd"/>
            <w:r w:rsidRPr="00C379C8">
              <w:t xml:space="preserve"> protect human health and the environment and to reduce the presence of such substances in waste. </w:t>
            </w:r>
          </w:p>
          <w:p w14:paraId="00742818" w14:textId="77777777" w:rsidR="00E95F71" w:rsidRDefault="00874B00" w:rsidP="002F6A28">
            <w:pPr>
              <w:spacing w:before="120" w:after="120"/>
            </w:pPr>
            <w:r w:rsidRPr="00C379C8">
              <w:t xml:space="preserve">Requirements concerning the end-of-life stage are necessary to address the environmental implications of the batteries and to support the creation of recycling markets for batteries and markets for secondary raw materials from batteries </w:t>
            </w:r>
            <w:proofErr w:type="gramStart"/>
            <w:r w:rsidRPr="00C379C8">
              <w:t>in order to</w:t>
            </w:r>
            <w:proofErr w:type="gramEnd"/>
            <w:r w:rsidRPr="00C379C8">
              <w:t xml:space="preserve"> close the materials loops. </w:t>
            </w:r>
          </w:p>
          <w:p w14:paraId="0332CD4E" w14:textId="77777777" w:rsidR="008A36D4" w:rsidRDefault="00874B00" w:rsidP="002F6A28">
            <w:pPr>
              <w:spacing w:before="120" w:after="120"/>
            </w:pPr>
            <w:proofErr w:type="gramStart"/>
            <w:r w:rsidRPr="00C379C8">
              <w:t>In order to</w:t>
            </w:r>
            <w:proofErr w:type="gramEnd"/>
            <w:r w:rsidRPr="00C379C8">
              <w:t xml:space="preserve"> better reflect new developments in the use of batteries, the proposal distinguishes between different categories of batteries in accordance with their design and use, independent of the battery chemistry. This classification is used to apply certain requirements only to those market segments of batteries that will have the most impact on the sustainability aspects concerned. It also facilitates monitoring of collection and recycling of different types of </w:t>
            </w:r>
            <w:proofErr w:type="gramStart"/>
            <w:r w:rsidRPr="00C379C8">
              <w:t>batteries;</w:t>
            </w:r>
            <w:proofErr w:type="gramEnd"/>
            <w:r w:rsidRPr="00C379C8">
              <w:t xml:space="preserve"> </w:t>
            </w:r>
          </w:p>
          <w:p w14:paraId="4EFADFBC" w14:textId="77777777" w:rsidR="00F85C99" w:rsidRPr="002F6A28" w:rsidRDefault="00874B00" w:rsidP="002F6A28">
            <w:pPr>
              <w:spacing w:before="120" w:after="120"/>
              <w:rPr>
                <w:b/>
              </w:rPr>
            </w:pPr>
            <w:r w:rsidRPr="00C379C8">
              <w:t>Protection of the environment</w:t>
            </w:r>
            <w:bookmarkStart w:id="28" w:name="sps7f"/>
            <w:bookmarkEnd w:id="28"/>
          </w:p>
        </w:tc>
      </w:tr>
      <w:tr w:rsidR="000741D4" w14:paraId="67B4221F" w14:textId="77777777" w:rsidTr="0069259F">
        <w:tc>
          <w:tcPr>
            <w:tcW w:w="713" w:type="dxa"/>
            <w:tcBorders>
              <w:top w:val="single" w:sz="6" w:space="0" w:color="auto"/>
              <w:bottom w:val="single" w:sz="6" w:space="0" w:color="auto"/>
            </w:tcBorders>
            <w:shd w:val="clear" w:color="auto" w:fill="auto"/>
          </w:tcPr>
          <w:p w14:paraId="2B74C31B" w14:textId="77777777" w:rsidR="00F85C99" w:rsidRPr="002F6A28" w:rsidRDefault="00874B00"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396DB96D" w14:textId="77777777" w:rsidR="00072B36" w:rsidRPr="002F6A28" w:rsidRDefault="00874B00" w:rsidP="008A36D4">
            <w:pPr>
              <w:spacing w:before="120" w:after="120"/>
            </w:pPr>
            <w:bookmarkStart w:id="29" w:name="X_TBT_Reg_8A"/>
            <w:r w:rsidRPr="002F6A28">
              <w:rPr>
                <w:b/>
              </w:rPr>
              <w:t>Relevant documents</w:t>
            </w:r>
            <w:bookmarkEnd w:id="29"/>
            <w:r w:rsidRPr="002F6A28">
              <w:rPr>
                <w:b/>
              </w:rPr>
              <w:t>:</w:t>
            </w:r>
            <w:r w:rsidR="00EE3A11" w:rsidRPr="002F6A28">
              <w:t xml:space="preserve"> </w:t>
            </w:r>
          </w:p>
          <w:p w14:paraId="416F638A" w14:textId="77777777" w:rsidR="008A36D4" w:rsidRDefault="00874B00" w:rsidP="008A36D4">
            <w:pPr>
              <w:numPr>
                <w:ilvl w:val="0"/>
                <w:numId w:val="16"/>
              </w:numPr>
              <w:spacing w:before="120" w:after="120"/>
              <w:rPr>
                <w:bCs/>
              </w:rPr>
            </w:pPr>
            <w:r w:rsidRPr="002F6A28">
              <w:rPr>
                <w:bCs/>
              </w:rPr>
              <w:t>Regulation (EU) 2019/1020 of the European Parliament and of the Council of 20</w:t>
            </w:r>
            <w:r>
              <w:rPr>
                <w:bCs/>
              </w:rPr>
              <w:t> </w:t>
            </w:r>
            <w:r w:rsidRPr="002F6A28">
              <w:rPr>
                <w:bCs/>
              </w:rPr>
              <w:t>June 2019 on market surveillance and compliance of products and amending Directive 2004/42/EC and Regulations (EC) No 765/2008 and (EU) No 305/2011</w:t>
            </w:r>
          </w:p>
          <w:p w14:paraId="694A6FE9" w14:textId="77777777" w:rsidR="008F3944" w:rsidRPr="002F6A28" w:rsidRDefault="00E949E6" w:rsidP="008A36D4">
            <w:pPr>
              <w:spacing w:before="120" w:after="120"/>
              <w:ind w:left="720"/>
              <w:rPr>
                <w:bCs/>
              </w:rPr>
            </w:pPr>
            <w:hyperlink r:id="rId7" w:history="1">
              <w:r w:rsidR="00874B00" w:rsidRPr="002F6A28">
                <w:rPr>
                  <w:bCs/>
                  <w:color w:val="0000FF"/>
                  <w:u w:val="single"/>
                </w:rPr>
                <w:t>https://eur-lex.europa.eu/legal-content/EN/TXT/PDF/?uri=CELEX:32019R1020</w:t>
              </w:r>
            </w:hyperlink>
          </w:p>
        </w:tc>
      </w:tr>
      <w:tr w:rsidR="000741D4" w14:paraId="3A85D555" w14:textId="77777777" w:rsidTr="00AE6CC8">
        <w:trPr>
          <w:cantSplit/>
        </w:trPr>
        <w:tc>
          <w:tcPr>
            <w:tcW w:w="713" w:type="dxa"/>
            <w:tcBorders>
              <w:top w:val="single" w:sz="6" w:space="0" w:color="auto"/>
              <w:bottom w:val="single" w:sz="6" w:space="0" w:color="auto"/>
            </w:tcBorders>
            <w:shd w:val="clear" w:color="auto" w:fill="auto"/>
          </w:tcPr>
          <w:p w14:paraId="048DEF5C" w14:textId="77777777" w:rsidR="00EE3A11" w:rsidRPr="002F6A28" w:rsidRDefault="00874B00"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542445B5" w14:textId="77777777" w:rsidR="00EE3A11" w:rsidRPr="002F6A28" w:rsidRDefault="00874B00" w:rsidP="008953C4">
            <w:pPr>
              <w:spacing w:before="120" w:after="120"/>
            </w:pPr>
            <w:bookmarkStart w:id="30" w:name="X_TBT_Reg_9A"/>
            <w:r w:rsidRPr="002F6A28">
              <w:rPr>
                <w:b/>
              </w:rPr>
              <w:t>Proposed date of adoption</w:t>
            </w:r>
            <w:bookmarkEnd w:id="30"/>
            <w:r w:rsidRPr="002F6A28">
              <w:rPr>
                <w:b/>
              </w:rPr>
              <w:t>:</w:t>
            </w:r>
            <w:r w:rsidRPr="00C379C8">
              <w:t xml:space="preserve"> </w:t>
            </w:r>
            <w:bookmarkStart w:id="31" w:name="sps10a"/>
            <w:bookmarkStart w:id="32" w:name="sps10b"/>
            <w:bookmarkEnd w:id="31"/>
            <w:r w:rsidRPr="002F6A28">
              <w:t>Adoption by the European Parliament and the Council is expected in 2021 or 2022</w:t>
            </w:r>
            <w:bookmarkEnd w:id="32"/>
          </w:p>
          <w:p w14:paraId="0E930DD1" w14:textId="77777777" w:rsidR="00EE3A11" w:rsidRPr="002F6A28" w:rsidRDefault="00874B00" w:rsidP="008953C4">
            <w:pPr>
              <w:spacing w:after="120"/>
            </w:pPr>
            <w:bookmarkStart w:id="33" w:name="X_TBT_Reg_9B"/>
            <w:r w:rsidRPr="002F6A28">
              <w:rPr>
                <w:b/>
              </w:rPr>
              <w:t>Proposed date of entry into force</w:t>
            </w:r>
            <w:bookmarkEnd w:id="33"/>
            <w:r w:rsidRPr="002F6A28">
              <w:rPr>
                <w:b/>
              </w:rPr>
              <w:t>:</w:t>
            </w:r>
            <w:r w:rsidRPr="00C379C8">
              <w:t xml:space="preserve"> </w:t>
            </w:r>
            <w:bookmarkStart w:id="34" w:name="sps11a"/>
            <w:bookmarkStart w:id="35" w:name="sps11b"/>
            <w:bookmarkEnd w:id="34"/>
            <w:r w:rsidRPr="002F6A28">
              <w:t>20 days from publication in the Official Journal of the EU (specific provisions shall apply from various dates as indicated in the proposal)</w:t>
            </w:r>
            <w:bookmarkEnd w:id="35"/>
          </w:p>
        </w:tc>
      </w:tr>
      <w:tr w:rsidR="000741D4" w14:paraId="2BA749A9" w14:textId="77777777" w:rsidTr="0069259F">
        <w:tc>
          <w:tcPr>
            <w:tcW w:w="713" w:type="dxa"/>
            <w:tcBorders>
              <w:top w:val="single" w:sz="6" w:space="0" w:color="auto"/>
              <w:bottom w:val="single" w:sz="6" w:space="0" w:color="auto"/>
            </w:tcBorders>
            <w:shd w:val="clear" w:color="auto" w:fill="auto"/>
          </w:tcPr>
          <w:p w14:paraId="3B55DF84" w14:textId="77777777" w:rsidR="00F85C99" w:rsidRPr="002F6A28" w:rsidRDefault="00874B00"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686CA949" w14:textId="77777777" w:rsidR="00F85C99" w:rsidRPr="002F6A28" w:rsidRDefault="00874B00" w:rsidP="002F6A28">
            <w:pPr>
              <w:spacing w:before="120" w:after="120"/>
            </w:pPr>
            <w:bookmarkStart w:id="36" w:name="X_TBT_Reg_10A"/>
            <w:r w:rsidRPr="002F6A28">
              <w:rPr>
                <w:b/>
              </w:rPr>
              <w:t>Final date for comments</w:t>
            </w:r>
            <w:bookmarkEnd w:id="36"/>
            <w:r w:rsidRPr="002F6A28">
              <w:rPr>
                <w:b/>
              </w:rPr>
              <w:t>:</w:t>
            </w:r>
            <w:r w:rsidR="00EE3A11" w:rsidRPr="00C379C8">
              <w:t xml:space="preserve"> 90 days from notification</w:t>
            </w:r>
            <w:bookmarkStart w:id="37" w:name="sps12a"/>
            <w:bookmarkEnd w:id="37"/>
          </w:p>
        </w:tc>
      </w:tr>
      <w:tr w:rsidR="000741D4" w14:paraId="74804065" w14:textId="77777777" w:rsidTr="0069259F">
        <w:tc>
          <w:tcPr>
            <w:tcW w:w="713" w:type="dxa"/>
            <w:tcBorders>
              <w:top w:val="single" w:sz="6" w:space="0" w:color="auto"/>
            </w:tcBorders>
            <w:shd w:val="clear" w:color="auto" w:fill="auto"/>
          </w:tcPr>
          <w:p w14:paraId="4BC1A0B3" w14:textId="77777777" w:rsidR="00F85C99" w:rsidRPr="002F6A28" w:rsidRDefault="00874B00"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5E3ED7BB" w14:textId="77777777" w:rsidR="00F85C99" w:rsidRPr="002F6A28" w:rsidRDefault="00874B00" w:rsidP="00B16145">
            <w:pPr>
              <w:keepNext/>
              <w:keepLines/>
              <w:spacing w:before="120" w:after="120"/>
            </w:pPr>
            <w:bookmarkStart w:id="38"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8"/>
            <w:r w:rsidRPr="002F6A28">
              <w:rPr>
                <w:b/>
              </w:rPr>
              <w:t xml:space="preserve"> </w:t>
            </w:r>
            <w:proofErr w:type="gramStart"/>
            <w:r w:rsidR="00533DC1" w:rsidRPr="002F6A28">
              <w:rPr>
                <w:b/>
              </w:rPr>
              <w:t>[</w:t>
            </w:r>
            <w:bookmarkStart w:id="39" w:name="sps13b"/>
            <w:r w:rsidRPr="002F6A28">
              <w:rPr>
                <w:b/>
              </w:rPr>
              <w:t xml:space="preserve"> </w:t>
            </w:r>
            <w:bookmarkEnd w:id="39"/>
            <w:r w:rsidRPr="002F6A28">
              <w:rPr>
                <w:b/>
              </w:rPr>
              <w:t>]</w:t>
            </w:r>
            <w:proofErr w:type="gramEnd"/>
            <w:r w:rsidRPr="002F6A28">
              <w:rPr>
                <w:b/>
              </w:rPr>
              <w:t xml:space="preserve"> </w:t>
            </w:r>
            <w:bookmarkStart w:id="40"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0"/>
            <w:r w:rsidRPr="002F6A28">
              <w:rPr>
                <w:b/>
              </w:rPr>
              <w:t>:</w:t>
            </w:r>
            <w:r w:rsidR="00EE3A11" w:rsidRPr="00C379C8">
              <w:rPr>
                <w:b/>
              </w:rPr>
              <w:t xml:space="preserve"> </w:t>
            </w:r>
            <w:bookmarkStart w:id="41" w:name="sps13c"/>
          </w:p>
          <w:p w14:paraId="2BE6FF92" w14:textId="77777777" w:rsidR="00E95F71" w:rsidRPr="00874B00" w:rsidRDefault="00874B00" w:rsidP="00B16145">
            <w:pPr>
              <w:keepNext/>
              <w:keepLines/>
              <w:spacing w:before="120" w:after="120"/>
              <w:jc w:val="left"/>
              <w:rPr>
                <w:lang w:val="fr-CH"/>
              </w:rPr>
            </w:pPr>
            <w:r w:rsidRPr="00874B00">
              <w:rPr>
                <w:lang w:val="fr-CH"/>
              </w:rPr>
              <w:t>European Commission</w:t>
            </w:r>
            <w:r w:rsidRPr="00874B00">
              <w:rPr>
                <w:lang w:val="fr-CH"/>
              </w:rPr>
              <w:br/>
              <w:t>EU-TBT Enquiry Point</w:t>
            </w:r>
            <w:r w:rsidRPr="00874B00">
              <w:rPr>
                <w:lang w:val="fr-CH"/>
              </w:rPr>
              <w:br/>
            </w:r>
            <w:proofErr w:type="gramStart"/>
            <w:r w:rsidRPr="00874B00">
              <w:rPr>
                <w:lang w:val="fr-CH"/>
              </w:rPr>
              <w:t>Fax:</w:t>
            </w:r>
            <w:proofErr w:type="gramEnd"/>
            <w:r w:rsidRPr="00874B00">
              <w:rPr>
                <w:lang w:val="fr-CH"/>
              </w:rPr>
              <w:t xml:space="preserve"> + (32) 2 299 80 43</w:t>
            </w:r>
            <w:r w:rsidRPr="00874B00">
              <w:rPr>
                <w:lang w:val="fr-CH"/>
              </w:rPr>
              <w:br/>
              <w:t xml:space="preserve">E-mail: </w:t>
            </w:r>
            <w:hyperlink r:id="rId8" w:history="1">
              <w:r w:rsidRPr="00874B00">
                <w:rPr>
                  <w:color w:val="0000FF"/>
                  <w:u w:val="single"/>
                  <w:lang w:val="fr-CH"/>
                </w:rPr>
                <w:t>grow-eu-tbt@ec.europa.eu</w:t>
              </w:r>
            </w:hyperlink>
          </w:p>
          <w:p w14:paraId="57E74753" w14:textId="77777777" w:rsidR="00E95F71" w:rsidRDefault="00874B00" w:rsidP="00B16145">
            <w:pPr>
              <w:keepNext/>
              <w:keepLines/>
              <w:spacing w:before="120" w:after="120"/>
              <w:jc w:val="left"/>
            </w:pPr>
            <w:r w:rsidRPr="002F6A28">
              <w:t xml:space="preserve">The text is available on the EU-TBT Website: </w:t>
            </w:r>
            <w:hyperlink r:id="rId9" w:history="1">
              <w:r w:rsidRPr="002F6A28">
                <w:rPr>
                  <w:color w:val="0000FF"/>
                  <w:u w:val="single"/>
                </w:rPr>
                <w:t>http://ec.europa.eu/growth/tools-databases/tbt/en/</w:t>
              </w:r>
            </w:hyperlink>
          </w:p>
          <w:p w14:paraId="5EA81956" w14:textId="77777777" w:rsidR="00E95F71" w:rsidRDefault="00E949E6" w:rsidP="00B16145">
            <w:pPr>
              <w:keepNext/>
              <w:keepLines/>
              <w:spacing w:before="120" w:after="120"/>
              <w:jc w:val="left"/>
            </w:pPr>
            <w:hyperlink r:id="rId10" w:history="1">
              <w:r w:rsidR="00874B00" w:rsidRPr="002F6A28">
                <w:rPr>
                  <w:color w:val="0000FF"/>
                  <w:u w:val="single"/>
                </w:rPr>
                <w:t>https://eur-lex.europa.eu/legal-content/EN/TXT/?uri=CELEX:52020PC0798</w:t>
              </w:r>
            </w:hyperlink>
          </w:p>
          <w:p w14:paraId="71E0DE71" w14:textId="77777777" w:rsidR="00E95F71" w:rsidRDefault="00E949E6" w:rsidP="00B16145">
            <w:pPr>
              <w:keepNext/>
              <w:keepLines/>
              <w:spacing w:before="120" w:after="120"/>
              <w:jc w:val="left"/>
            </w:pPr>
            <w:hyperlink r:id="rId11" w:history="1">
              <w:r w:rsidR="00874B00" w:rsidRPr="002F6A28">
                <w:rPr>
                  <w:color w:val="0000FF"/>
                  <w:u w:val="single"/>
                </w:rPr>
                <w:t>https://members.wto.org/crnattachments/2021/TBT/EEC/21_0656_00_e.pdf</w:t>
              </w:r>
            </w:hyperlink>
          </w:p>
          <w:p w14:paraId="5AC28BF6" w14:textId="77777777" w:rsidR="008F3944" w:rsidRPr="002F6A28" w:rsidRDefault="00E949E6" w:rsidP="00B16145">
            <w:pPr>
              <w:keepNext/>
              <w:keepLines/>
              <w:spacing w:before="120" w:after="120"/>
              <w:jc w:val="left"/>
            </w:pPr>
            <w:hyperlink r:id="rId12" w:history="1">
              <w:r w:rsidR="00874B00" w:rsidRPr="002F6A28">
                <w:rPr>
                  <w:color w:val="0000FF"/>
                  <w:u w:val="single"/>
                </w:rPr>
                <w:t>https://members.wto.org/crnattachments/2021/TBT/EEC/21_0656_01_e.pdf</w:t>
              </w:r>
            </w:hyperlink>
            <w:bookmarkEnd w:id="41"/>
          </w:p>
        </w:tc>
      </w:tr>
    </w:tbl>
    <w:p w14:paraId="77334F56" w14:textId="77777777" w:rsidR="00EE3A11" w:rsidRPr="002F6A28" w:rsidRDefault="00EE3A11" w:rsidP="002F6A28"/>
    <w:sectPr w:rsidR="00EE3A11" w:rsidRPr="002F6A28" w:rsidSect="00760DB3">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80775F" w14:textId="77777777" w:rsidR="007D59B4" w:rsidRDefault="00874B00">
      <w:r>
        <w:separator/>
      </w:r>
    </w:p>
  </w:endnote>
  <w:endnote w:type="continuationSeparator" w:id="0">
    <w:p w14:paraId="53C06B7A" w14:textId="77777777" w:rsidR="007D59B4" w:rsidRDefault="00874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E20EB" w14:textId="77777777" w:rsidR="009239F7" w:rsidRPr="002F6A28" w:rsidRDefault="00874B00"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CCB9D" w14:textId="77777777" w:rsidR="009239F7" w:rsidRPr="002F6A28" w:rsidRDefault="00874B00"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EB143" w14:textId="77777777" w:rsidR="00EE3A11" w:rsidRPr="002F6A28" w:rsidRDefault="00874B00">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777EC5" w14:textId="77777777" w:rsidR="007D59B4" w:rsidRDefault="00874B00">
      <w:r>
        <w:separator/>
      </w:r>
    </w:p>
  </w:footnote>
  <w:footnote w:type="continuationSeparator" w:id="0">
    <w:p w14:paraId="0DF200CE" w14:textId="77777777" w:rsidR="007D59B4" w:rsidRDefault="00874B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696EE" w14:textId="77777777" w:rsidR="009239F7" w:rsidRPr="002F6A28" w:rsidRDefault="00874B00" w:rsidP="009239F7">
    <w:pPr>
      <w:pStyle w:val="Header"/>
      <w:pBdr>
        <w:bottom w:val="single" w:sz="4" w:space="1" w:color="auto"/>
      </w:pBdr>
      <w:tabs>
        <w:tab w:val="clear" w:pos="4513"/>
        <w:tab w:val="clear" w:pos="9027"/>
      </w:tabs>
      <w:jc w:val="center"/>
    </w:pPr>
    <w:proofErr w:type="spellStart"/>
    <w:r w:rsidRPr="002F6A28">
      <w:t>tbtSymbol</w:t>
    </w:r>
    <w:proofErr w:type="spellEnd"/>
  </w:p>
  <w:p w14:paraId="5B48F9E8" w14:textId="77777777" w:rsidR="009239F7" w:rsidRPr="002F6A28" w:rsidRDefault="009239F7" w:rsidP="009239F7">
    <w:pPr>
      <w:pStyle w:val="Header"/>
      <w:pBdr>
        <w:bottom w:val="single" w:sz="4" w:space="1" w:color="auto"/>
      </w:pBdr>
      <w:tabs>
        <w:tab w:val="clear" w:pos="4513"/>
        <w:tab w:val="clear" w:pos="9027"/>
      </w:tabs>
      <w:jc w:val="center"/>
    </w:pPr>
  </w:p>
  <w:p w14:paraId="19A82422" w14:textId="77777777" w:rsidR="009239F7" w:rsidRPr="002F6A28" w:rsidRDefault="00874B00"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27EE093"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DF13C" w14:textId="77777777" w:rsidR="009239F7" w:rsidRPr="002F6A28" w:rsidRDefault="00874B00" w:rsidP="009239F7">
    <w:pPr>
      <w:pStyle w:val="Header"/>
      <w:pBdr>
        <w:bottom w:val="single" w:sz="4" w:space="1" w:color="auto"/>
      </w:pBdr>
      <w:tabs>
        <w:tab w:val="clear" w:pos="4513"/>
        <w:tab w:val="clear" w:pos="9027"/>
      </w:tabs>
      <w:jc w:val="center"/>
    </w:pPr>
    <w:bookmarkStart w:id="42" w:name="spsSymbolHeader"/>
    <w:r w:rsidRPr="002F6A28">
      <w:t>G/TBT/N/EU/775</w:t>
    </w:r>
    <w:bookmarkEnd w:id="42"/>
  </w:p>
  <w:p w14:paraId="6E3C5CC4" w14:textId="77777777" w:rsidR="009239F7" w:rsidRPr="002F6A28" w:rsidRDefault="009239F7" w:rsidP="009239F7">
    <w:pPr>
      <w:pStyle w:val="Header"/>
      <w:pBdr>
        <w:bottom w:val="single" w:sz="4" w:space="1" w:color="auto"/>
      </w:pBdr>
      <w:tabs>
        <w:tab w:val="clear" w:pos="4513"/>
        <w:tab w:val="clear" w:pos="9027"/>
      </w:tabs>
      <w:jc w:val="center"/>
    </w:pPr>
  </w:p>
  <w:p w14:paraId="1CBFC078" w14:textId="77777777" w:rsidR="009239F7" w:rsidRPr="002F6A28" w:rsidRDefault="00874B00"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347796A"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741D4" w14:paraId="03A6EB20" w14:textId="77777777" w:rsidTr="008612A9">
      <w:trPr>
        <w:trHeight w:val="240"/>
        <w:jc w:val="center"/>
      </w:trPr>
      <w:tc>
        <w:tcPr>
          <w:tcW w:w="3794" w:type="dxa"/>
          <w:shd w:val="clear" w:color="auto" w:fill="FFFFFF"/>
          <w:tcMar>
            <w:left w:w="108" w:type="dxa"/>
            <w:right w:w="108" w:type="dxa"/>
          </w:tcMar>
          <w:vAlign w:val="center"/>
        </w:tcPr>
        <w:p w14:paraId="62194491" w14:textId="77777777" w:rsidR="00ED54E0" w:rsidRPr="009239F7" w:rsidRDefault="00ED54E0" w:rsidP="00B801E9">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14:paraId="7E68558D" w14:textId="77777777" w:rsidR="00ED54E0" w:rsidRPr="009239F7" w:rsidRDefault="00ED54E0" w:rsidP="00B801E9">
          <w:pPr>
            <w:jc w:val="right"/>
            <w:rPr>
              <w:b/>
              <w:color w:val="FF0000"/>
              <w:szCs w:val="16"/>
            </w:rPr>
          </w:pPr>
        </w:p>
      </w:tc>
    </w:tr>
    <w:bookmarkEnd w:id="43"/>
    <w:tr w:rsidR="000741D4" w14:paraId="7C7700AA" w14:textId="77777777" w:rsidTr="008612A9">
      <w:trPr>
        <w:trHeight w:val="213"/>
        <w:jc w:val="center"/>
      </w:trPr>
      <w:tc>
        <w:tcPr>
          <w:tcW w:w="3794" w:type="dxa"/>
          <w:vMerge w:val="restart"/>
          <w:shd w:val="clear" w:color="auto" w:fill="FFFFFF"/>
          <w:tcMar>
            <w:left w:w="0" w:type="dxa"/>
            <w:right w:w="0" w:type="dxa"/>
          </w:tcMar>
        </w:tcPr>
        <w:p w14:paraId="3596E97E" w14:textId="77777777" w:rsidR="00ED54E0" w:rsidRPr="009239F7" w:rsidRDefault="00874B00" w:rsidP="00B801E9">
          <w:pPr>
            <w:jc w:val="left"/>
          </w:pPr>
          <w:r>
            <w:rPr>
              <w:noProof/>
              <w:lang w:eastAsia="en-GB"/>
            </w:rPr>
            <w:drawing>
              <wp:inline distT="0" distB="0" distL="0" distR="0" wp14:anchorId="471D4559" wp14:editId="48FA3E8C">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23913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9884975" w14:textId="77777777" w:rsidR="00ED54E0" w:rsidRPr="009239F7" w:rsidRDefault="00ED54E0" w:rsidP="00B801E9">
          <w:pPr>
            <w:jc w:val="right"/>
            <w:rPr>
              <w:b/>
              <w:szCs w:val="16"/>
            </w:rPr>
          </w:pPr>
        </w:p>
      </w:tc>
    </w:tr>
    <w:tr w:rsidR="000741D4" w14:paraId="3FCFAEB1" w14:textId="77777777" w:rsidTr="008612A9">
      <w:trPr>
        <w:trHeight w:val="868"/>
        <w:jc w:val="center"/>
      </w:trPr>
      <w:tc>
        <w:tcPr>
          <w:tcW w:w="3794" w:type="dxa"/>
          <w:vMerge/>
          <w:shd w:val="clear" w:color="auto" w:fill="FFFFFF"/>
          <w:tcMar>
            <w:left w:w="108" w:type="dxa"/>
            <w:right w:w="108" w:type="dxa"/>
          </w:tcMar>
        </w:tcPr>
        <w:p w14:paraId="7C618100"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439ED7F5" w14:textId="77777777" w:rsidR="009239F7" w:rsidRPr="002F6A28" w:rsidRDefault="00874B00" w:rsidP="00B801E9">
          <w:pPr>
            <w:jc w:val="right"/>
            <w:rPr>
              <w:b/>
              <w:szCs w:val="16"/>
            </w:rPr>
          </w:pPr>
          <w:bookmarkStart w:id="44" w:name="bmkSymbols"/>
          <w:r w:rsidRPr="002F6A28">
            <w:rPr>
              <w:b/>
              <w:szCs w:val="16"/>
            </w:rPr>
            <w:t>G/TBT/N/EU/775</w:t>
          </w:r>
          <w:bookmarkEnd w:id="44"/>
        </w:p>
      </w:tc>
    </w:tr>
    <w:tr w:rsidR="000741D4" w14:paraId="13D83E87" w14:textId="77777777" w:rsidTr="008612A9">
      <w:trPr>
        <w:trHeight w:val="240"/>
        <w:jc w:val="center"/>
      </w:trPr>
      <w:tc>
        <w:tcPr>
          <w:tcW w:w="3794" w:type="dxa"/>
          <w:vMerge/>
          <w:shd w:val="clear" w:color="auto" w:fill="FFFFFF"/>
          <w:tcMar>
            <w:left w:w="108" w:type="dxa"/>
            <w:right w:w="108" w:type="dxa"/>
          </w:tcMar>
          <w:vAlign w:val="center"/>
        </w:tcPr>
        <w:p w14:paraId="1D6D8A3B" w14:textId="77777777" w:rsidR="00ED54E0" w:rsidRPr="009239F7" w:rsidRDefault="00ED54E0" w:rsidP="00B801E9"/>
      </w:tc>
      <w:tc>
        <w:tcPr>
          <w:tcW w:w="5448" w:type="dxa"/>
          <w:gridSpan w:val="2"/>
          <w:shd w:val="clear" w:color="auto" w:fill="FFFFFF"/>
          <w:tcMar>
            <w:left w:w="108" w:type="dxa"/>
            <w:right w:w="108" w:type="dxa"/>
          </w:tcMar>
          <w:vAlign w:val="center"/>
        </w:tcPr>
        <w:p w14:paraId="0E5CA951" w14:textId="00D0C510" w:rsidR="00ED54E0" w:rsidRPr="009239F7" w:rsidRDefault="00874B00" w:rsidP="00B801E9">
          <w:pPr>
            <w:jc w:val="right"/>
            <w:rPr>
              <w:szCs w:val="16"/>
            </w:rPr>
          </w:pPr>
          <w:bookmarkStart w:id="45" w:name="spsDateDistribution"/>
          <w:bookmarkStart w:id="46" w:name="bmkDate"/>
          <w:bookmarkEnd w:id="45"/>
          <w:bookmarkEnd w:id="46"/>
          <w:r>
            <w:rPr>
              <w:szCs w:val="16"/>
            </w:rPr>
            <w:t>26 January 2021</w:t>
          </w:r>
        </w:p>
      </w:tc>
    </w:tr>
    <w:tr w:rsidR="000741D4" w14:paraId="4F06D635"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9E37A10" w14:textId="10DC0526" w:rsidR="00ED54E0" w:rsidRPr="009239F7" w:rsidRDefault="00874B00" w:rsidP="0097650D">
          <w:pPr>
            <w:jc w:val="left"/>
            <w:rPr>
              <w:b/>
            </w:rPr>
          </w:pPr>
          <w:bookmarkStart w:id="47" w:name="bmkSerial"/>
          <w:r w:rsidRPr="002F6A28">
            <w:rPr>
              <w:color w:val="FF0000"/>
              <w:szCs w:val="16"/>
            </w:rPr>
            <w:t>(</w:t>
          </w:r>
          <w:bookmarkStart w:id="48" w:name="spsSerialNumber"/>
          <w:bookmarkEnd w:id="48"/>
          <w:r>
            <w:rPr>
              <w:color w:val="FF0000"/>
              <w:szCs w:val="16"/>
            </w:rPr>
            <w:t>21-</w:t>
          </w:r>
          <w:r w:rsidR="00E949E6">
            <w:rPr>
              <w:color w:val="FF0000"/>
              <w:szCs w:val="16"/>
            </w:rPr>
            <w:t>0715</w:t>
          </w:r>
          <w:r w:rsidRPr="002F6A28">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14:paraId="56CE9A6B" w14:textId="77777777" w:rsidR="00ED54E0" w:rsidRPr="009239F7" w:rsidRDefault="00874B00" w:rsidP="00B801E9">
          <w:pPr>
            <w:jc w:val="right"/>
            <w:rPr>
              <w:szCs w:val="16"/>
            </w:rPr>
          </w:pPr>
          <w:bookmarkStart w:id="49"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9"/>
        </w:p>
      </w:tc>
    </w:tr>
    <w:tr w:rsidR="000741D4" w14:paraId="5375D736"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4549934" w14:textId="77777777" w:rsidR="00ED54E0" w:rsidRPr="009239F7" w:rsidRDefault="00874B00" w:rsidP="00B801E9">
          <w:pPr>
            <w:jc w:val="left"/>
            <w:rPr>
              <w:sz w:val="14"/>
              <w:szCs w:val="16"/>
            </w:rPr>
          </w:pPr>
          <w:bookmarkStart w:id="50" w:name="bmkCommittee"/>
          <w:r w:rsidRPr="002F6A28">
            <w:rPr>
              <w:b/>
            </w:rPr>
            <w:t>Committee on Technical Barriers to Trade</w:t>
          </w:r>
          <w:bookmarkEnd w:id="50"/>
        </w:p>
      </w:tc>
      <w:tc>
        <w:tcPr>
          <w:tcW w:w="3325" w:type="dxa"/>
          <w:tcBorders>
            <w:top w:val="single" w:sz="4" w:space="0" w:color="auto"/>
          </w:tcBorders>
          <w:tcMar>
            <w:top w:w="113" w:type="dxa"/>
            <w:left w:w="108" w:type="dxa"/>
            <w:bottom w:w="57" w:type="dxa"/>
            <w:right w:w="108" w:type="dxa"/>
          </w:tcMar>
          <w:vAlign w:val="center"/>
        </w:tcPr>
        <w:p w14:paraId="4C863396" w14:textId="77777777" w:rsidR="00ED54E0" w:rsidRPr="002F6A28" w:rsidRDefault="00874B00" w:rsidP="00B801E9">
          <w:pPr>
            <w:jc w:val="right"/>
            <w:rPr>
              <w:bCs/>
              <w:szCs w:val="18"/>
            </w:rPr>
          </w:pPr>
          <w:bookmarkStart w:id="51" w:name="bmkLanguage"/>
          <w:r w:rsidRPr="002F6A28">
            <w:rPr>
              <w:bCs/>
              <w:szCs w:val="18"/>
            </w:rPr>
            <w:t>Original:</w:t>
          </w:r>
          <w:r w:rsidR="00F263FA" w:rsidRPr="002F6A28">
            <w:rPr>
              <w:bCs/>
              <w:szCs w:val="18"/>
            </w:rPr>
            <w:t xml:space="preserve"> </w:t>
          </w:r>
          <w:bookmarkStart w:id="52" w:name="spsOriginalLanguage"/>
          <w:r w:rsidRPr="002F6A28">
            <w:rPr>
              <w:bCs/>
              <w:szCs w:val="18"/>
            </w:rPr>
            <w:t>English</w:t>
          </w:r>
          <w:bookmarkEnd w:id="52"/>
          <w:bookmarkEnd w:id="51"/>
        </w:p>
      </w:tc>
    </w:tr>
  </w:tbl>
  <w:p w14:paraId="6ACE04A9"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8BA0B60">
      <w:start w:val="1"/>
      <w:numFmt w:val="decimal"/>
      <w:pStyle w:val="SummaryText"/>
      <w:lvlText w:val="%1."/>
      <w:lvlJc w:val="left"/>
      <w:pPr>
        <w:ind w:left="360" w:hanging="360"/>
      </w:pPr>
    </w:lvl>
    <w:lvl w:ilvl="1" w:tplc="D716F706" w:tentative="1">
      <w:start w:val="1"/>
      <w:numFmt w:val="lowerLetter"/>
      <w:lvlText w:val="%2."/>
      <w:lvlJc w:val="left"/>
      <w:pPr>
        <w:ind w:left="1080" w:hanging="360"/>
      </w:pPr>
    </w:lvl>
    <w:lvl w:ilvl="2" w:tplc="4A52BF5C" w:tentative="1">
      <w:start w:val="1"/>
      <w:numFmt w:val="lowerRoman"/>
      <w:lvlText w:val="%3."/>
      <w:lvlJc w:val="right"/>
      <w:pPr>
        <w:ind w:left="1800" w:hanging="180"/>
      </w:pPr>
    </w:lvl>
    <w:lvl w:ilvl="3" w:tplc="C0D6629E" w:tentative="1">
      <w:start w:val="1"/>
      <w:numFmt w:val="decimal"/>
      <w:lvlText w:val="%4."/>
      <w:lvlJc w:val="left"/>
      <w:pPr>
        <w:ind w:left="2520" w:hanging="360"/>
      </w:pPr>
    </w:lvl>
    <w:lvl w:ilvl="4" w:tplc="A25AC20E" w:tentative="1">
      <w:start w:val="1"/>
      <w:numFmt w:val="lowerLetter"/>
      <w:lvlText w:val="%5."/>
      <w:lvlJc w:val="left"/>
      <w:pPr>
        <w:ind w:left="3240" w:hanging="360"/>
      </w:pPr>
    </w:lvl>
    <w:lvl w:ilvl="5" w:tplc="04404EB6" w:tentative="1">
      <w:start w:val="1"/>
      <w:numFmt w:val="lowerRoman"/>
      <w:lvlText w:val="%6."/>
      <w:lvlJc w:val="right"/>
      <w:pPr>
        <w:ind w:left="3960" w:hanging="180"/>
      </w:pPr>
    </w:lvl>
    <w:lvl w:ilvl="6" w:tplc="F1E0B06E" w:tentative="1">
      <w:start w:val="1"/>
      <w:numFmt w:val="decimal"/>
      <w:lvlText w:val="%7."/>
      <w:lvlJc w:val="left"/>
      <w:pPr>
        <w:ind w:left="4680" w:hanging="360"/>
      </w:pPr>
    </w:lvl>
    <w:lvl w:ilvl="7" w:tplc="03F6564A" w:tentative="1">
      <w:start w:val="1"/>
      <w:numFmt w:val="lowerLetter"/>
      <w:lvlText w:val="%8."/>
      <w:lvlJc w:val="left"/>
      <w:pPr>
        <w:ind w:left="5400" w:hanging="360"/>
      </w:pPr>
    </w:lvl>
    <w:lvl w:ilvl="8" w:tplc="E57C5018"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E58252A0">
      <w:start w:val="1"/>
      <w:numFmt w:val="bullet"/>
      <w:lvlText w:val=""/>
      <w:lvlJc w:val="left"/>
      <w:pPr>
        <w:ind w:left="720" w:hanging="360"/>
      </w:pPr>
      <w:rPr>
        <w:rFonts w:ascii="Symbol" w:hAnsi="Symbol"/>
      </w:rPr>
    </w:lvl>
    <w:lvl w:ilvl="1" w:tplc="43AA23F2">
      <w:start w:val="1"/>
      <w:numFmt w:val="bullet"/>
      <w:lvlText w:val="o"/>
      <w:lvlJc w:val="left"/>
      <w:pPr>
        <w:tabs>
          <w:tab w:val="num" w:pos="1440"/>
        </w:tabs>
        <w:ind w:left="1440" w:hanging="360"/>
      </w:pPr>
      <w:rPr>
        <w:rFonts w:ascii="Courier New" w:hAnsi="Courier New"/>
      </w:rPr>
    </w:lvl>
    <w:lvl w:ilvl="2" w:tplc="5F3C1BF8">
      <w:start w:val="1"/>
      <w:numFmt w:val="bullet"/>
      <w:lvlText w:val=""/>
      <w:lvlJc w:val="left"/>
      <w:pPr>
        <w:tabs>
          <w:tab w:val="num" w:pos="2160"/>
        </w:tabs>
        <w:ind w:left="2160" w:hanging="360"/>
      </w:pPr>
      <w:rPr>
        <w:rFonts w:ascii="Wingdings" w:hAnsi="Wingdings"/>
      </w:rPr>
    </w:lvl>
    <w:lvl w:ilvl="3" w:tplc="83A6F16A">
      <w:start w:val="1"/>
      <w:numFmt w:val="bullet"/>
      <w:lvlText w:val=""/>
      <w:lvlJc w:val="left"/>
      <w:pPr>
        <w:tabs>
          <w:tab w:val="num" w:pos="2880"/>
        </w:tabs>
        <w:ind w:left="2880" w:hanging="360"/>
      </w:pPr>
      <w:rPr>
        <w:rFonts w:ascii="Symbol" w:hAnsi="Symbol"/>
      </w:rPr>
    </w:lvl>
    <w:lvl w:ilvl="4" w:tplc="1E54C47C">
      <w:start w:val="1"/>
      <w:numFmt w:val="bullet"/>
      <w:lvlText w:val="o"/>
      <w:lvlJc w:val="left"/>
      <w:pPr>
        <w:tabs>
          <w:tab w:val="num" w:pos="3600"/>
        </w:tabs>
        <w:ind w:left="3600" w:hanging="360"/>
      </w:pPr>
      <w:rPr>
        <w:rFonts w:ascii="Courier New" w:hAnsi="Courier New"/>
      </w:rPr>
    </w:lvl>
    <w:lvl w:ilvl="5" w:tplc="6922A394">
      <w:start w:val="1"/>
      <w:numFmt w:val="bullet"/>
      <w:lvlText w:val=""/>
      <w:lvlJc w:val="left"/>
      <w:pPr>
        <w:tabs>
          <w:tab w:val="num" w:pos="4320"/>
        </w:tabs>
        <w:ind w:left="4320" w:hanging="360"/>
      </w:pPr>
      <w:rPr>
        <w:rFonts w:ascii="Wingdings" w:hAnsi="Wingdings"/>
      </w:rPr>
    </w:lvl>
    <w:lvl w:ilvl="6" w:tplc="EBA0E898">
      <w:start w:val="1"/>
      <w:numFmt w:val="bullet"/>
      <w:lvlText w:val=""/>
      <w:lvlJc w:val="left"/>
      <w:pPr>
        <w:tabs>
          <w:tab w:val="num" w:pos="5040"/>
        </w:tabs>
        <w:ind w:left="5040" w:hanging="360"/>
      </w:pPr>
      <w:rPr>
        <w:rFonts w:ascii="Symbol" w:hAnsi="Symbol"/>
      </w:rPr>
    </w:lvl>
    <w:lvl w:ilvl="7" w:tplc="9AC4E98A">
      <w:start w:val="1"/>
      <w:numFmt w:val="bullet"/>
      <w:lvlText w:val="o"/>
      <w:lvlJc w:val="left"/>
      <w:pPr>
        <w:tabs>
          <w:tab w:val="num" w:pos="5760"/>
        </w:tabs>
        <w:ind w:left="5760" w:hanging="360"/>
      </w:pPr>
      <w:rPr>
        <w:rFonts w:ascii="Courier New" w:hAnsi="Courier New"/>
      </w:rPr>
    </w:lvl>
    <w:lvl w:ilvl="8" w:tplc="D188FD0C">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proofState w:spelling="clean" w:grammar="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1D4"/>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179FA"/>
    <w:rsid w:val="00233408"/>
    <w:rsid w:val="00267723"/>
    <w:rsid w:val="00270637"/>
    <w:rsid w:val="0027067B"/>
    <w:rsid w:val="002D21E3"/>
    <w:rsid w:val="002E174F"/>
    <w:rsid w:val="002F6A28"/>
    <w:rsid w:val="00303D9D"/>
    <w:rsid w:val="00304AAE"/>
    <w:rsid w:val="003124EC"/>
    <w:rsid w:val="003531C5"/>
    <w:rsid w:val="003572B4"/>
    <w:rsid w:val="003723A9"/>
    <w:rsid w:val="00381B96"/>
    <w:rsid w:val="00383F7A"/>
    <w:rsid w:val="00396AF4"/>
    <w:rsid w:val="003B2BBF"/>
    <w:rsid w:val="003B40C7"/>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D59B4"/>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74B00"/>
    <w:rsid w:val="008848E9"/>
    <w:rsid w:val="008935B1"/>
    <w:rsid w:val="00893E85"/>
    <w:rsid w:val="008953C4"/>
    <w:rsid w:val="008A36D4"/>
    <w:rsid w:val="008B223A"/>
    <w:rsid w:val="008B4A10"/>
    <w:rsid w:val="008B4FB8"/>
    <w:rsid w:val="008C1339"/>
    <w:rsid w:val="008E372C"/>
    <w:rsid w:val="008E67DC"/>
    <w:rsid w:val="008F3944"/>
    <w:rsid w:val="009239F7"/>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49E6"/>
    <w:rsid w:val="00E95F71"/>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A2B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grow-eu-tbt@ec.europa.e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eur-lex.europa.eu/legal-content/EN/TXT/PDF/?uri=CELEX:32019R1020" TargetMode="External"/><Relationship Id="rId12" Type="http://schemas.openxmlformats.org/officeDocument/2006/relationships/hyperlink" Target="https://members.wto.org/crnattachments/2021/TBT/EEC/21_0656_01_e.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mbers.wto.org/crnattachments/2021/TBT/EEC/21_0656_00_e.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eur-lex.europa.eu/legal-content/EN/TXT/?uri=CELEX:52020PC0798"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c.europa.eu/growth/tools-databases/tbt/en/"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1003</Words>
  <Characters>6293</Characters>
  <Application>Microsoft Office Word</Application>
  <DocSecurity>0</DocSecurity>
  <Lines>118</Lines>
  <Paragraphs>52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2021-01-25T13:56:00Z</dcterms:created>
  <dcterms:modified xsi:type="dcterms:W3CDTF">2021-01-25T17:09:00Z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2ed7e536-c779-4cfd-8eb4-cfa60446a07b</vt:lpwstr>
  </property>
  <property fmtid="{D5CDD505-2E9C-101B-9397-08002B2CF9AE}" pid="4" name="WTOCLASSIFICATION">
    <vt:lpwstr>WTO OFFICIAL</vt:lpwstr>
  </property>
</Properties>
</file>