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5F9D" w14:textId="77777777" w:rsidR="009239F7" w:rsidRPr="002F6A28" w:rsidRDefault="001F346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94C83A" w14:textId="77777777" w:rsidR="009239F7" w:rsidRPr="002F6A28" w:rsidRDefault="001F3460" w:rsidP="002F6A28">
      <w:pPr>
        <w:jc w:val="center"/>
      </w:pPr>
      <w:r w:rsidRPr="002F6A28">
        <w:t>The following notification is being circulated in accordance with Article 10.6</w:t>
      </w:r>
    </w:p>
    <w:p w14:paraId="10D229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A50E7" w14:paraId="6F64FAE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9993618" w14:textId="77777777" w:rsidR="00F85C99" w:rsidRPr="002F6A28" w:rsidRDefault="001F346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BD1428" w14:textId="77777777" w:rsidR="00F85C99" w:rsidRPr="002F6A28" w:rsidRDefault="001F346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31BB096A" w14:textId="77777777" w:rsidR="00F85C99" w:rsidRPr="002F6A28" w:rsidRDefault="001F346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A50E7" w14:paraId="5BFF16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A5021" w14:textId="77777777" w:rsidR="00F85C99" w:rsidRPr="002F6A28" w:rsidRDefault="001F346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0BE29" w14:textId="77777777" w:rsidR="00F85C99" w:rsidRPr="002F6A28" w:rsidRDefault="001F346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EBD8E7" w14:textId="77777777" w:rsidR="003A56B6" w:rsidRPr="002F6A28" w:rsidRDefault="001F3460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</w:t>
              </w:r>
              <w:r w:rsidRPr="002F6A28">
                <w:rPr>
                  <w:color w:val="0000FF"/>
                  <w:u w:val="single"/>
                </w:rPr>
                <w:t>.</w:t>
              </w:r>
              <w:r w:rsidRPr="002F6A28">
                <w:rPr>
                  <w:color w:val="0000FF"/>
                  <w:u w:val="single"/>
                </w:rPr>
                <w:t>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2AECDDA0" w14:textId="77777777" w:rsidR="00F85C99" w:rsidRPr="002F6A28" w:rsidRDefault="001F346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A50E7" w14:paraId="456F82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CECA7" w14:textId="77777777" w:rsidR="00F85C99" w:rsidRPr="002F6A28" w:rsidRDefault="001F346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FA951" w14:textId="77777777" w:rsidR="00F85C99" w:rsidRPr="0058336F" w:rsidRDefault="001F346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A50E7" w14:paraId="7B8B3E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9243F" w14:textId="77777777" w:rsidR="00F85C99" w:rsidRPr="002F6A28" w:rsidRDefault="001F346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06CD0" w14:textId="77777777" w:rsidR="00F85C99" w:rsidRPr="002F6A28" w:rsidRDefault="001F346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Toys (ICS</w:t>
            </w:r>
            <w:r>
              <w:t> </w:t>
            </w:r>
            <w:r w:rsidR="00EE3A11" w:rsidRPr="00C379C8">
              <w:t>97.200.50)</w:t>
            </w:r>
            <w:bookmarkStart w:id="20" w:name="sps3a"/>
            <w:bookmarkEnd w:id="20"/>
            <w:r w:rsidR="009E1147">
              <w:t xml:space="preserve"> </w:t>
            </w:r>
          </w:p>
        </w:tc>
      </w:tr>
      <w:tr w:rsidR="008A50E7" w14:paraId="5A0F83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025C" w14:textId="77777777" w:rsidR="00F85C99" w:rsidRPr="002F6A28" w:rsidRDefault="001F346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94B6E" w14:textId="77777777" w:rsidR="00F85C99" w:rsidRPr="002F6A28" w:rsidRDefault="001F346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Ministerial Decree No. 609 /2020 (3 pages, in Arabic) mandating the Egyptian Standard ES 3123-8 "Safety of toys - Part 8: Activity toys for domestic use" (72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A50E7" w14:paraId="3FBC64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FCB81" w14:textId="77777777" w:rsidR="00F85C99" w:rsidRPr="002F6A28" w:rsidRDefault="001F346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ED5A6" w14:textId="77777777" w:rsidR="00F85C99" w:rsidRPr="002F6A28" w:rsidRDefault="001F346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609 /2020 gives the producers and importers a six-month transitional period to abide by the Egyptian standard ES 3123-8.</w:t>
            </w:r>
          </w:p>
          <w:p w14:paraId="19072D94" w14:textId="77777777" w:rsidR="00FE448B" w:rsidRPr="00C379C8" w:rsidRDefault="001F3460" w:rsidP="002F6A28">
            <w:pPr>
              <w:spacing w:after="120"/>
            </w:pPr>
            <w:r w:rsidRPr="00C379C8">
              <w:t>This standard specifies requirements and test methods for activity toys for domestic use often attached to or incorporating a crossbeam, and similar toys intended for children under 14 years to play on or in and often intended to bear the mass of one or more children.</w:t>
            </w:r>
          </w:p>
          <w:p w14:paraId="436C4C4D" w14:textId="77777777" w:rsidR="00FE448B" w:rsidRPr="00C379C8" w:rsidRDefault="001F3460" w:rsidP="002F6A28">
            <w:pPr>
              <w:spacing w:after="120"/>
            </w:pPr>
            <w:r w:rsidRPr="00C379C8">
              <w:t xml:space="preserve">It also specifies requirements for: </w:t>
            </w:r>
          </w:p>
          <w:p w14:paraId="2CB7EF07" w14:textId="77777777" w:rsidR="00FE448B" w:rsidRPr="00C379C8" w:rsidRDefault="001F3460" w:rsidP="002F6A28">
            <w:pPr>
              <w:spacing w:after="120"/>
            </w:pPr>
            <w:r w:rsidRPr="00C379C8">
              <w:t xml:space="preserve">- separately sold accessories for, and components of activity </w:t>
            </w:r>
            <w:proofErr w:type="gramStart"/>
            <w:r w:rsidRPr="00C379C8">
              <w:t>toys;</w:t>
            </w:r>
            <w:proofErr w:type="gramEnd"/>
            <w:r w:rsidRPr="00C379C8">
              <w:t xml:space="preserve"> </w:t>
            </w:r>
          </w:p>
          <w:p w14:paraId="2759BD35" w14:textId="77777777" w:rsidR="00FE448B" w:rsidRPr="00C379C8" w:rsidRDefault="001F3460" w:rsidP="002F6A28">
            <w:pPr>
              <w:spacing w:after="120"/>
            </w:pPr>
            <w:r w:rsidRPr="00C379C8">
              <w:t xml:space="preserve">- separately sold swing elements that are ready for use on or in combination with an activity </w:t>
            </w:r>
            <w:proofErr w:type="gramStart"/>
            <w:r w:rsidRPr="00C379C8">
              <w:t>toy;</w:t>
            </w:r>
            <w:proofErr w:type="gramEnd"/>
            <w:r w:rsidRPr="00C379C8">
              <w:t xml:space="preserve"> </w:t>
            </w:r>
          </w:p>
          <w:p w14:paraId="38BC4FAE" w14:textId="77777777" w:rsidR="00FE448B" w:rsidRPr="00C379C8" w:rsidRDefault="001F3460" w:rsidP="002F6A28">
            <w:pPr>
              <w:spacing w:after="120"/>
            </w:pPr>
            <w:r w:rsidRPr="00C379C8">
              <w:t>- construction packages for activity toys including components used to build activity toys according to a scheduled building instruction</w:t>
            </w:r>
          </w:p>
          <w:p w14:paraId="2B498D3F" w14:textId="77777777" w:rsidR="00FE448B" w:rsidRPr="00C379C8" w:rsidRDefault="001F3460" w:rsidP="002F6A28">
            <w:pPr>
              <w:spacing w:before="120" w:after="120"/>
            </w:pPr>
            <w:r w:rsidRPr="00C379C8">
              <w:t xml:space="preserve">Worth mentioning is that this standard adopts the technical content of </w:t>
            </w:r>
            <w:hyperlink r:id="rId10" w:history="1">
              <w:r w:rsidRPr="00C379C8">
                <w:rPr>
                  <w:color w:val="0000FF"/>
                  <w:u w:val="single"/>
                </w:rPr>
                <w:t>EN 71-8:2018</w:t>
              </w:r>
            </w:hyperlink>
            <w:bookmarkStart w:id="26" w:name="sps6a"/>
            <w:bookmarkEnd w:id="26"/>
          </w:p>
        </w:tc>
      </w:tr>
      <w:tr w:rsidR="008A50E7" w14:paraId="57420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5FD86" w14:textId="77777777" w:rsidR="00F85C99" w:rsidRPr="002F6A28" w:rsidRDefault="001F346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BE0F5" w14:textId="77777777" w:rsidR="00F85C99" w:rsidRPr="002F6A28" w:rsidRDefault="001F346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requirements; Quality requirements, </w:t>
            </w:r>
            <w:proofErr w:type="gramStart"/>
            <w:r w:rsidR="00EE3A11" w:rsidRPr="00C379C8">
              <w:t>Health</w:t>
            </w:r>
            <w:proofErr w:type="gramEnd"/>
            <w:r w:rsidR="00EE3A11" w:rsidRPr="00C379C8">
              <w:t xml:space="preserve"> and consumer protection; Other</w:t>
            </w:r>
            <w:bookmarkStart w:id="28" w:name="sps7f"/>
            <w:bookmarkEnd w:id="28"/>
          </w:p>
        </w:tc>
      </w:tr>
      <w:tr w:rsidR="008A50E7" w14:paraId="2EE6B7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11387" w14:textId="77777777" w:rsidR="00F85C99" w:rsidRPr="002F6A28" w:rsidRDefault="001F346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6D2C0" w14:textId="77777777" w:rsidR="00072B36" w:rsidRPr="002F6A28" w:rsidRDefault="001F346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27FC5C7" w14:textId="77777777" w:rsidR="003A56B6" w:rsidRPr="002F6A28" w:rsidRDefault="0012336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hyperlink r:id="rId11" w:history="1">
              <w:r w:rsidR="001E335F" w:rsidRPr="002F6A28">
                <w:rPr>
                  <w:bCs/>
                  <w:color w:val="0000FF"/>
                  <w:u w:val="single"/>
                </w:rPr>
                <w:t>EN 71-8:2018</w:t>
              </w:r>
            </w:hyperlink>
          </w:p>
          <w:p w14:paraId="1AD31559" w14:textId="77777777" w:rsidR="003A56B6" w:rsidRPr="002F6A28" w:rsidRDefault="001F346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609 /2020.</w:t>
            </w:r>
          </w:p>
        </w:tc>
      </w:tr>
      <w:tr w:rsidR="008A50E7" w14:paraId="56CFBE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202A0" w14:textId="77777777" w:rsidR="00EE3A11" w:rsidRPr="002F6A28" w:rsidRDefault="001F346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BA199" w14:textId="77777777" w:rsidR="00EE3A11" w:rsidRPr="002F6A28" w:rsidRDefault="001F3460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4 December 2020</w:t>
            </w:r>
            <w:bookmarkStart w:id="31" w:name="sps10a"/>
            <w:bookmarkStart w:id="32" w:name="sps10b"/>
            <w:bookmarkEnd w:id="31"/>
            <w:bookmarkEnd w:id="32"/>
          </w:p>
          <w:p w14:paraId="2A032C85" w14:textId="77777777" w:rsidR="00EE3A11" w:rsidRPr="002F6A28" w:rsidRDefault="001F3460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15 January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8A50E7" w14:paraId="5E9A40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F0E8C" w14:textId="77777777" w:rsidR="00F85C99" w:rsidRPr="002F6A28" w:rsidRDefault="001F346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E0108" w14:textId="77777777" w:rsidR="00F85C99" w:rsidRPr="002F6A28" w:rsidRDefault="001F3460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8A50E7" w14:paraId="243E6A3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9F1DB4" w14:textId="77777777" w:rsidR="00F85C99" w:rsidRPr="002F6A28" w:rsidRDefault="001F346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436F6A" w14:textId="77777777" w:rsidR="00F85C99" w:rsidRPr="002F6A28" w:rsidRDefault="001F3460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4B15F3FF" w14:textId="77777777" w:rsidR="003A56B6" w:rsidRPr="002F6A28" w:rsidRDefault="001F3460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 xml:space="preserve">Address: 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Cairo- Egypt</w:t>
            </w:r>
            <w:r w:rsidRPr="002F6A28">
              <w:br/>
              <w:t xml:space="preserve">E-mail: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3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4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1"/>
          </w:p>
        </w:tc>
      </w:tr>
    </w:tbl>
    <w:p w14:paraId="097D54AA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259C6" w14:textId="77777777" w:rsidR="00DE41ED" w:rsidRDefault="001F3460">
      <w:r>
        <w:separator/>
      </w:r>
    </w:p>
  </w:endnote>
  <w:endnote w:type="continuationSeparator" w:id="0">
    <w:p w14:paraId="4D31219C" w14:textId="77777777" w:rsidR="00DE41ED" w:rsidRDefault="001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DC3D" w14:textId="77777777" w:rsidR="009239F7" w:rsidRPr="002F6A28" w:rsidRDefault="001F346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D4C3" w14:textId="77777777" w:rsidR="009239F7" w:rsidRPr="002F6A28" w:rsidRDefault="001F346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2E4F7" w14:textId="77777777" w:rsidR="00EE3A11" w:rsidRPr="002F6A28" w:rsidRDefault="001F346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5B655" w14:textId="77777777" w:rsidR="00DE41ED" w:rsidRDefault="001F3460">
      <w:r>
        <w:separator/>
      </w:r>
    </w:p>
  </w:footnote>
  <w:footnote w:type="continuationSeparator" w:id="0">
    <w:p w14:paraId="61BE218C" w14:textId="77777777" w:rsidR="00DE41ED" w:rsidRDefault="001F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E569" w14:textId="77777777" w:rsidR="009239F7" w:rsidRPr="002F6A28" w:rsidRDefault="001F346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6B7CF6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B74BC" w14:textId="77777777" w:rsidR="009239F7" w:rsidRPr="002F6A28" w:rsidRDefault="001F346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DA28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5FC4" w14:textId="77777777" w:rsidR="009239F7" w:rsidRPr="002F6A28" w:rsidRDefault="001F346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G/TBT/N/EGY/286</w:t>
    </w:r>
    <w:bookmarkEnd w:id="42"/>
  </w:p>
  <w:p w14:paraId="43A581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724828" w14:textId="77777777" w:rsidR="009239F7" w:rsidRPr="002F6A28" w:rsidRDefault="001F346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46F6E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50E7" w14:paraId="05500DA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3AE1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969E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8A50E7" w14:paraId="1BBF782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284729" w14:textId="77777777" w:rsidR="00ED54E0" w:rsidRPr="009239F7" w:rsidRDefault="001F346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A12214" wp14:editId="0FA5262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3187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ED00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A50E7" w14:paraId="72C718A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725C2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6DE34" w14:textId="77777777" w:rsidR="009239F7" w:rsidRPr="002F6A28" w:rsidRDefault="001F3460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G/TBT/N/EGY/286</w:t>
          </w:r>
          <w:bookmarkEnd w:id="44"/>
        </w:p>
      </w:tc>
    </w:tr>
    <w:tr w:rsidR="008A50E7" w14:paraId="0779418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A8F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2F9E3" w14:textId="6DDA0710" w:rsidR="00ED54E0" w:rsidRPr="009239F7" w:rsidRDefault="001F3460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30 March 2021</w:t>
          </w:r>
        </w:p>
      </w:tc>
    </w:tr>
    <w:tr w:rsidR="008A50E7" w14:paraId="08448C1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467A8" w14:textId="6BB9562A" w:rsidR="00ED54E0" w:rsidRPr="009239F7" w:rsidRDefault="001F3460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123360">
            <w:rPr>
              <w:color w:val="FF0000"/>
              <w:szCs w:val="16"/>
            </w:rPr>
            <w:t>2571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998307" w14:textId="77777777" w:rsidR="00ED54E0" w:rsidRPr="009239F7" w:rsidRDefault="001F346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A50E7" w14:paraId="77ABA64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BE50ED" w14:textId="77777777" w:rsidR="00ED54E0" w:rsidRPr="009239F7" w:rsidRDefault="001F3460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336B64" w14:textId="77777777" w:rsidR="00ED54E0" w:rsidRPr="002F6A28" w:rsidRDefault="001F3460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F15FE0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D2AD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B27F7C" w:tentative="1">
      <w:start w:val="1"/>
      <w:numFmt w:val="lowerLetter"/>
      <w:lvlText w:val="%2."/>
      <w:lvlJc w:val="left"/>
      <w:pPr>
        <w:ind w:left="1080" w:hanging="360"/>
      </w:pPr>
    </w:lvl>
    <w:lvl w:ilvl="2" w:tplc="240E7464" w:tentative="1">
      <w:start w:val="1"/>
      <w:numFmt w:val="lowerRoman"/>
      <w:lvlText w:val="%3."/>
      <w:lvlJc w:val="right"/>
      <w:pPr>
        <w:ind w:left="1800" w:hanging="180"/>
      </w:pPr>
    </w:lvl>
    <w:lvl w:ilvl="3" w:tplc="8514E9D8" w:tentative="1">
      <w:start w:val="1"/>
      <w:numFmt w:val="decimal"/>
      <w:lvlText w:val="%4."/>
      <w:lvlJc w:val="left"/>
      <w:pPr>
        <w:ind w:left="2520" w:hanging="360"/>
      </w:pPr>
    </w:lvl>
    <w:lvl w:ilvl="4" w:tplc="82FC7F70" w:tentative="1">
      <w:start w:val="1"/>
      <w:numFmt w:val="lowerLetter"/>
      <w:lvlText w:val="%5."/>
      <w:lvlJc w:val="left"/>
      <w:pPr>
        <w:ind w:left="3240" w:hanging="360"/>
      </w:pPr>
    </w:lvl>
    <w:lvl w:ilvl="5" w:tplc="6CFC724E" w:tentative="1">
      <w:start w:val="1"/>
      <w:numFmt w:val="lowerRoman"/>
      <w:lvlText w:val="%6."/>
      <w:lvlJc w:val="right"/>
      <w:pPr>
        <w:ind w:left="3960" w:hanging="180"/>
      </w:pPr>
    </w:lvl>
    <w:lvl w:ilvl="6" w:tplc="96E42400" w:tentative="1">
      <w:start w:val="1"/>
      <w:numFmt w:val="decimal"/>
      <w:lvlText w:val="%7."/>
      <w:lvlJc w:val="left"/>
      <w:pPr>
        <w:ind w:left="4680" w:hanging="360"/>
      </w:pPr>
    </w:lvl>
    <w:lvl w:ilvl="7" w:tplc="563E1056" w:tentative="1">
      <w:start w:val="1"/>
      <w:numFmt w:val="lowerLetter"/>
      <w:lvlText w:val="%8."/>
      <w:lvlJc w:val="left"/>
      <w:pPr>
        <w:ind w:left="5400" w:hanging="360"/>
      </w:pPr>
    </w:lvl>
    <w:lvl w:ilvl="8" w:tplc="0C185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60A9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120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EE8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6B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E68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D8A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1277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14C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CC8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3360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E335F"/>
    <w:rsid w:val="001F3460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56B6"/>
    <w:rsid w:val="003B2BBF"/>
    <w:rsid w:val="003B40C7"/>
    <w:rsid w:val="00407D8C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50E7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1147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2F68"/>
    <w:rsid w:val="00D32587"/>
    <w:rsid w:val="00D52A9D"/>
    <w:rsid w:val="00D55AAD"/>
    <w:rsid w:val="00D70F5B"/>
    <w:rsid w:val="00D747AE"/>
    <w:rsid w:val="00D9226C"/>
    <w:rsid w:val="00DA20BD"/>
    <w:rsid w:val="00DE41E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40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cen.eu/dyn/www/f?p=204:110:0::::FSP_PROJECT,FSP_ORG_ID:41649,6036&amp;cs=1A253C5451175C79211DF142C1CC9D69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andards.cen.eu/dyn/www/f?p=204:110:0::::FSP_PROJECT,FSP_ORG_ID:41649,6036&amp;cs=1A253C5451175C79211DF142C1CC9D69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2021-03-29T14:26:00Z</dcterms:created>
  <dcterms:modified xsi:type="dcterms:W3CDTF">2021-03-30T07:36:00Z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2db5c2dd-484a-409b-ac31-01e76da520be</vt:lpwstr>
  </property>
  <property fmtid="{D5CDD505-2E9C-101B-9397-08002B2CF9AE}" pid="4" name="WTOCLASSIFICATION">
    <vt:lpwstr>WTO OFFICIAL</vt:lpwstr>
  </property>
</Properties>
</file>