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F7C9" w14:textId="77777777" w:rsidR="009239F7" w:rsidRPr="002F6A28" w:rsidRDefault="00105B8E" w:rsidP="002F6A28">
      <w:pPr>
        <w:pStyle w:val="Titre"/>
        <w:rPr>
          <w:caps w:val="0"/>
          <w:kern w:val="0"/>
        </w:rPr>
      </w:pPr>
      <w:r w:rsidRPr="002F6A28">
        <w:rPr>
          <w:caps w:val="0"/>
          <w:kern w:val="0"/>
        </w:rPr>
        <w:t>NOTIFICATION</w:t>
      </w:r>
    </w:p>
    <w:p w14:paraId="70F0A40C" w14:textId="77777777" w:rsidR="009239F7" w:rsidRPr="002F6A28" w:rsidRDefault="00105B8E" w:rsidP="002F6A28">
      <w:pPr>
        <w:jc w:val="center"/>
      </w:pPr>
      <w:r w:rsidRPr="002F6A28">
        <w:t>The following notification is being circulated in accordance with Article 10.6</w:t>
      </w:r>
    </w:p>
    <w:p w14:paraId="5AD24BE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97455" w14:paraId="22D332B3" w14:textId="77777777" w:rsidTr="0069259F">
        <w:tc>
          <w:tcPr>
            <w:tcW w:w="713" w:type="dxa"/>
            <w:tcBorders>
              <w:bottom w:val="single" w:sz="6" w:space="0" w:color="auto"/>
            </w:tcBorders>
            <w:shd w:val="clear" w:color="auto" w:fill="auto"/>
          </w:tcPr>
          <w:p w14:paraId="50B5E9C1" w14:textId="77777777" w:rsidR="00F85C99" w:rsidRPr="002F6A28" w:rsidRDefault="00105B8E" w:rsidP="002F6A28">
            <w:pPr>
              <w:spacing w:before="120" w:after="120"/>
              <w:jc w:val="left"/>
            </w:pPr>
            <w:r w:rsidRPr="002F6A28">
              <w:rPr>
                <w:b/>
              </w:rPr>
              <w:t>1.</w:t>
            </w:r>
          </w:p>
        </w:tc>
        <w:tc>
          <w:tcPr>
            <w:tcW w:w="8546" w:type="dxa"/>
            <w:tcBorders>
              <w:bottom w:val="single" w:sz="6" w:space="0" w:color="auto"/>
            </w:tcBorders>
            <w:shd w:val="clear" w:color="auto" w:fill="auto"/>
          </w:tcPr>
          <w:p w14:paraId="6DD563FB" w14:textId="77777777" w:rsidR="00F85C99" w:rsidRPr="002F6A28" w:rsidRDefault="00105B8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2E699057" w14:textId="77777777" w:rsidR="00F85C99" w:rsidRPr="002F6A28" w:rsidRDefault="00105B8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97455" w14:paraId="7C998557" w14:textId="77777777" w:rsidTr="0069259F">
        <w:tc>
          <w:tcPr>
            <w:tcW w:w="713" w:type="dxa"/>
            <w:tcBorders>
              <w:top w:val="single" w:sz="6" w:space="0" w:color="auto"/>
              <w:bottom w:val="single" w:sz="6" w:space="0" w:color="auto"/>
            </w:tcBorders>
            <w:shd w:val="clear" w:color="auto" w:fill="auto"/>
          </w:tcPr>
          <w:p w14:paraId="1B4CAF62" w14:textId="77777777" w:rsidR="00F85C99" w:rsidRPr="002F6A28" w:rsidRDefault="00105B8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7F0F879" w14:textId="77777777" w:rsidR="00F85C99" w:rsidRPr="002F6A28" w:rsidRDefault="00105B8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2792ACD" w14:textId="77777777" w:rsidR="00EE3A11" w:rsidRPr="00C379C8" w:rsidRDefault="00105B8E" w:rsidP="00155128">
            <w:pPr>
              <w:spacing w:after="120"/>
            </w:pPr>
            <w:r w:rsidRPr="00C379C8">
              <w:t>Department of Innovation, Sciences and Economic Development</w:t>
            </w:r>
            <w:bookmarkEnd w:id="5"/>
          </w:p>
          <w:p w14:paraId="1D6BC315" w14:textId="77777777" w:rsidR="00F85C99" w:rsidRPr="002F6A28" w:rsidRDefault="00105B8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A27B07B" w14:textId="77777777" w:rsidR="00AC6C6E" w:rsidRPr="00C379C8" w:rsidRDefault="00105B8E" w:rsidP="00AA646C">
            <w:r w:rsidRPr="00C379C8">
              <w:t>Canada's Notification Authority and Enquiry Point</w:t>
            </w:r>
          </w:p>
          <w:p w14:paraId="6FAA2CD5" w14:textId="77777777" w:rsidR="00AC6C6E" w:rsidRPr="00C379C8" w:rsidRDefault="00105B8E" w:rsidP="00AA646C">
            <w:r w:rsidRPr="00C379C8">
              <w:t>Foreign Affairs, Trade and Development Canada</w:t>
            </w:r>
          </w:p>
          <w:p w14:paraId="6E86D286" w14:textId="77777777" w:rsidR="00AC6C6E" w:rsidRPr="00C379C8" w:rsidRDefault="00105B8E" w:rsidP="00AA646C">
            <w:r w:rsidRPr="00C379C8">
              <w:t>Technical Barriers and Regulations Division</w:t>
            </w:r>
          </w:p>
          <w:p w14:paraId="4547554B" w14:textId="77777777" w:rsidR="00AC6C6E" w:rsidRPr="00C379C8" w:rsidRDefault="00105B8E" w:rsidP="00AA646C">
            <w:r w:rsidRPr="00C379C8">
              <w:t>111 Sussex Drive</w:t>
            </w:r>
          </w:p>
          <w:p w14:paraId="5C9FE667" w14:textId="77777777" w:rsidR="00AC6C6E" w:rsidRPr="00C379C8" w:rsidRDefault="00105B8E" w:rsidP="00AA646C">
            <w:r w:rsidRPr="00C379C8">
              <w:t>Ottawa, ON K1A 0G2</w:t>
            </w:r>
          </w:p>
          <w:p w14:paraId="7D56D42E" w14:textId="77777777" w:rsidR="00AC6C6E" w:rsidRPr="00C379C8" w:rsidRDefault="00105B8E" w:rsidP="00AA646C">
            <w:r w:rsidRPr="00C379C8">
              <w:t>Canada</w:t>
            </w:r>
          </w:p>
          <w:p w14:paraId="0716F5F4" w14:textId="77777777" w:rsidR="00AC6C6E" w:rsidRPr="00C379C8" w:rsidRDefault="00105B8E" w:rsidP="00AA646C">
            <w:r w:rsidRPr="00C379C8">
              <w:t>Telephone: (343) 203-4273</w:t>
            </w:r>
          </w:p>
          <w:p w14:paraId="16E65441" w14:textId="77777777" w:rsidR="00AC6C6E" w:rsidRPr="00C379C8" w:rsidRDefault="00105B8E" w:rsidP="00AA646C">
            <w:r w:rsidRPr="00C379C8">
              <w:t>Fax: (613) 943-0346</w:t>
            </w:r>
          </w:p>
          <w:p w14:paraId="1D3B0773" w14:textId="77777777" w:rsidR="00AC6C6E" w:rsidRPr="00C379C8" w:rsidRDefault="00105B8E" w:rsidP="00AA646C">
            <w:pPr>
              <w:spacing w:after="120"/>
            </w:pPr>
            <w:r w:rsidRPr="00C379C8">
              <w:t xml:space="preserve">Email: </w:t>
            </w:r>
            <w:hyperlink r:id="rId8" w:history="1">
              <w:r w:rsidRPr="00C379C8">
                <w:rPr>
                  <w:color w:val="0000FF"/>
                  <w:u w:val="single"/>
                </w:rPr>
                <w:t>enquirypoint@international.gc.ca</w:t>
              </w:r>
            </w:hyperlink>
            <w:bookmarkEnd w:id="7"/>
          </w:p>
        </w:tc>
      </w:tr>
      <w:tr w:rsidR="00B97455" w14:paraId="6466849E" w14:textId="77777777" w:rsidTr="0069259F">
        <w:tc>
          <w:tcPr>
            <w:tcW w:w="713" w:type="dxa"/>
            <w:tcBorders>
              <w:top w:val="single" w:sz="6" w:space="0" w:color="auto"/>
              <w:bottom w:val="single" w:sz="6" w:space="0" w:color="auto"/>
            </w:tcBorders>
            <w:shd w:val="clear" w:color="auto" w:fill="auto"/>
          </w:tcPr>
          <w:p w14:paraId="289D4E26" w14:textId="77777777" w:rsidR="00F85C99" w:rsidRPr="002F6A28" w:rsidRDefault="00105B8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CBBEE1" w14:textId="77777777" w:rsidR="00F85C99" w:rsidRPr="0058336F" w:rsidRDefault="00105B8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97455" w14:paraId="0F2A8E32" w14:textId="77777777" w:rsidTr="0069259F">
        <w:tc>
          <w:tcPr>
            <w:tcW w:w="713" w:type="dxa"/>
            <w:tcBorders>
              <w:top w:val="single" w:sz="6" w:space="0" w:color="auto"/>
              <w:bottom w:val="single" w:sz="6" w:space="0" w:color="auto"/>
            </w:tcBorders>
            <w:shd w:val="clear" w:color="auto" w:fill="auto"/>
          </w:tcPr>
          <w:p w14:paraId="4BFA9B28" w14:textId="77777777" w:rsidR="00F85C99" w:rsidRPr="002F6A28" w:rsidRDefault="00105B8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1F2DBD" w14:textId="77777777" w:rsidR="00F85C99" w:rsidRPr="002F6A28" w:rsidRDefault="00105B8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Radiocommunications</w:t>
            </w:r>
            <w:bookmarkEnd w:id="22"/>
          </w:p>
        </w:tc>
      </w:tr>
      <w:tr w:rsidR="00B97455" w14:paraId="146B1D62" w14:textId="77777777" w:rsidTr="0069259F">
        <w:tc>
          <w:tcPr>
            <w:tcW w:w="713" w:type="dxa"/>
            <w:tcBorders>
              <w:top w:val="single" w:sz="6" w:space="0" w:color="auto"/>
              <w:bottom w:val="single" w:sz="6" w:space="0" w:color="auto"/>
            </w:tcBorders>
            <w:shd w:val="clear" w:color="auto" w:fill="auto"/>
          </w:tcPr>
          <w:p w14:paraId="6E9DC22B" w14:textId="77777777" w:rsidR="00F85C99" w:rsidRPr="002F6A28" w:rsidRDefault="00105B8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2ED9B1" w14:textId="77777777" w:rsidR="00F85C99" w:rsidRPr="002F6A28" w:rsidRDefault="00105B8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RSS-102 Issue 6</w:t>
            </w:r>
            <w:r w:rsidR="00EE3A11" w:rsidRPr="00C379C8">
              <w:rPr>
                <w:b/>
                <w:bCs/>
              </w:rPr>
              <w:t xml:space="preserve"> </w:t>
            </w:r>
            <w:r w:rsidR="00EE3A11" w:rsidRPr="00C379C8">
              <w:t>(53 pages in English; 57 pages in French) and its companion documents:</w:t>
            </w:r>
          </w:p>
          <w:p w14:paraId="61622EB2" w14:textId="77777777" w:rsidR="00EE3A11" w:rsidRPr="00C379C8" w:rsidRDefault="00105B8E" w:rsidP="002F6A28">
            <w:pPr>
              <w:numPr>
                <w:ilvl w:val="0"/>
                <w:numId w:val="16"/>
              </w:numPr>
              <w:spacing w:before="120" w:after="120"/>
            </w:pPr>
            <w:r w:rsidRPr="00C379C8">
              <w:t>RSS-102.SAR.MEAS Issue 1 (63 pages in English; 64 pages in French)</w:t>
            </w:r>
          </w:p>
          <w:p w14:paraId="0EA642E0" w14:textId="77777777" w:rsidR="00EE3A11" w:rsidRPr="00C379C8" w:rsidRDefault="00105B8E" w:rsidP="002F6A28">
            <w:pPr>
              <w:numPr>
                <w:ilvl w:val="0"/>
                <w:numId w:val="16"/>
              </w:numPr>
              <w:spacing w:before="120" w:after="120"/>
            </w:pPr>
            <w:r w:rsidRPr="00C379C8">
              <w:t>RSS-102.NS.MEAS Issue 1 (43 pages in English; 47 pages in French)</w:t>
            </w:r>
          </w:p>
          <w:p w14:paraId="1B60478C" w14:textId="77777777" w:rsidR="00EE3A11" w:rsidRPr="00C379C8" w:rsidRDefault="00105B8E" w:rsidP="002F6A28">
            <w:pPr>
              <w:numPr>
                <w:ilvl w:val="0"/>
                <w:numId w:val="16"/>
              </w:numPr>
              <w:spacing w:before="120" w:after="120"/>
            </w:pPr>
            <w:r w:rsidRPr="00C379C8">
              <w:t>RSS-102.NS.SIM Issue 1 (23 pages in English; 27 pages in French)</w:t>
            </w:r>
          </w:p>
          <w:p w14:paraId="57A573DD" w14:textId="77777777" w:rsidR="00EE3A11" w:rsidRPr="00C379C8" w:rsidRDefault="00105B8E" w:rsidP="002F6A28">
            <w:pPr>
              <w:numPr>
                <w:ilvl w:val="0"/>
                <w:numId w:val="16"/>
              </w:numPr>
              <w:spacing w:before="120" w:after="120"/>
            </w:pPr>
            <w:r w:rsidRPr="00C379C8">
              <w:t>RSS-102.IPD.MEAS Issue 1 (27 pages in English; 28 pages French)</w:t>
            </w:r>
          </w:p>
          <w:p w14:paraId="015AD35C" w14:textId="77777777" w:rsidR="00EE3A11" w:rsidRPr="00C379C8" w:rsidRDefault="00105B8E" w:rsidP="002F6A28">
            <w:pPr>
              <w:numPr>
                <w:ilvl w:val="0"/>
                <w:numId w:val="16"/>
              </w:numPr>
              <w:spacing w:before="120" w:after="120"/>
            </w:pPr>
            <w:r w:rsidRPr="00C379C8">
              <w:t>RSS-102.IPD.SIM Issue 1 (20 pages in English; 21 pages in French)</w:t>
            </w:r>
            <w:bookmarkEnd w:id="24"/>
          </w:p>
        </w:tc>
      </w:tr>
      <w:tr w:rsidR="00B97455" w14:paraId="5900B711" w14:textId="77777777" w:rsidTr="00105B8E">
        <w:trPr>
          <w:cantSplit/>
        </w:trPr>
        <w:tc>
          <w:tcPr>
            <w:tcW w:w="713" w:type="dxa"/>
            <w:tcBorders>
              <w:top w:val="single" w:sz="6" w:space="0" w:color="auto"/>
              <w:bottom w:val="single" w:sz="6" w:space="0" w:color="auto"/>
            </w:tcBorders>
            <w:shd w:val="clear" w:color="auto" w:fill="auto"/>
          </w:tcPr>
          <w:p w14:paraId="6C52EB7A" w14:textId="77777777" w:rsidR="00F85C99" w:rsidRPr="002F6A28" w:rsidRDefault="00105B8E"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44209979" w14:textId="77777777" w:rsidR="00F85C99" w:rsidRPr="002F6A28" w:rsidRDefault="00105B8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is hereby given by the Ministry of Innovation, Science and Economic Development Canada that the following have been published:</w:t>
            </w:r>
          </w:p>
          <w:p w14:paraId="31AC99A4" w14:textId="77777777" w:rsidR="00FE448B" w:rsidRPr="00C379C8" w:rsidRDefault="00105B8E" w:rsidP="002F6A28">
            <w:pPr>
              <w:spacing w:before="120" w:after="120"/>
            </w:pPr>
            <w:r w:rsidRPr="00C379C8">
              <w:rPr>
                <w:b/>
                <w:bCs/>
              </w:rPr>
              <w:t>RSS-102, Issue 6</w:t>
            </w:r>
            <w:r w:rsidRPr="00C379C8">
              <w:t xml:space="preserve"> – Radio Frequency (RF) Exposure Compliance of Radiocommunication Apparatus (All Frequency Bands) sets out the requirements and measurement techniques for evaluating radio frequency (RF) exposure compliance of radiocommunication apparatus designed to be used within the vicinity of the human body.</w:t>
            </w:r>
          </w:p>
          <w:p w14:paraId="458EE485" w14:textId="77777777" w:rsidR="00FE448B" w:rsidRPr="00C379C8" w:rsidRDefault="00105B8E" w:rsidP="002F6A28">
            <w:pPr>
              <w:spacing w:before="120" w:after="120"/>
            </w:pPr>
            <w:r w:rsidRPr="00C379C8">
              <w:t>In addition to RSS-102 issue 6, the Department is also concurrently issuing the following documents as part of this consultation:</w:t>
            </w:r>
          </w:p>
          <w:p w14:paraId="15E1A826" w14:textId="77777777" w:rsidR="00FE448B" w:rsidRPr="00C379C8" w:rsidRDefault="00105B8E" w:rsidP="002F6A28">
            <w:pPr>
              <w:numPr>
                <w:ilvl w:val="0"/>
                <w:numId w:val="17"/>
              </w:numPr>
              <w:spacing w:before="120" w:after="120"/>
            </w:pPr>
            <w:r w:rsidRPr="00C379C8">
              <w:rPr>
                <w:b/>
                <w:bCs/>
              </w:rPr>
              <w:t>RSS-102.SAR.MEAS Issue 1</w:t>
            </w:r>
            <w:r w:rsidRPr="00C379C8">
              <w:t xml:space="preserve"> – Measurement procedure for assessing specific absorption, replaces, in part, (</w:t>
            </w:r>
            <w:r w:rsidRPr="00C379C8">
              <w:rPr>
                <w:i/>
                <w:iCs/>
              </w:rPr>
              <w:t>Supplementary Procedures</w:t>
            </w:r>
            <w:r w:rsidRPr="00C379C8">
              <w:t>) SPR-001, SPR-004 and SPR-APD (</w:t>
            </w:r>
            <w:r w:rsidRPr="00C379C8">
              <w:rPr>
                <w:i/>
                <w:iCs/>
              </w:rPr>
              <w:t>Absorbed power density</w:t>
            </w:r>
            <w:r w:rsidRPr="00C379C8">
              <w:t>)</w:t>
            </w:r>
          </w:p>
          <w:p w14:paraId="0CFC6784" w14:textId="77777777" w:rsidR="00FE448B" w:rsidRPr="00C379C8" w:rsidRDefault="00105B8E" w:rsidP="002F6A28">
            <w:pPr>
              <w:numPr>
                <w:ilvl w:val="0"/>
                <w:numId w:val="17"/>
              </w:numPr>
              <w:spacing w:before="120" w:after="120"/>
            </w:pPr>
            <w:r w:rsidRPr="00C379C8">
              <w:rPr>
                <w:b/>
                <w:bCs/>
              </w:rPr>
              <w:t>RSS-102.NS.MEAS Issue 1</w:t>
            </w:r>
            <w:r w:rsidRPr="00C379C8">
              <w:t xml:space="preserve"> – Measurement procedure for assessing nerve stimulation, replaces, in part, SPR-002</w:t>
            </w:r>
          </w:p>
          <w:p w14:paraId="4A1BDEC9" w14:textId="77777777" w:rsidR="00FE448B" w:rsidRPr="00C379C8" w:rsidRDefault="00105B8E" w:rsidP="002F6A28">
            <w:pPr>
              <w:numPr>
                <w:ilvl w:val="0"/>
                <w:numId w:val="17"/>
              </w:numPr>
              <w:spacing w:before="120" w:after="120"/>
            </w:pPr>
            <w:r w:rsidRPr="00C379C8">
              <w:rPr>
                <w:b/>
                <w:bCs/>
              </w:rPr>
              <w:t>RSS-102.NS.SIM Issue 1</w:t>
            </w:r>
            <w:r w:rsidRPr="00C379C8">
              <w:t xml:space="preserve"> – Simulation procedure for assessing nerve stimulation, replaces, in part, SPR-002</w:t>
            </w:r>
          </w:p>
          <w:p w14:paraId="2A3EA8D3" w14:textId="77777777" w:rsidR="00FE448B" w:rsidRPr="00C379C8" w:rsidRDefault="00105B8E" w:rsidP="002F6A28">
            <w:pPr>
              <w:numPr>
                <w:ilvl w:val="0"/>
                <w:numId w:val="17"/>
              </w:numPr>
              <w:spacing w:before="120" w:after="120"/>
            </w:pPr>
            <w:r w:rsidRPr="00C379C8">
              <w:rPr>
                <w:b/>
                <w:bCs/>
              </w:rPr>
              <w:t>RSS-102.IPD.MEAS Issue 1</w:t>
            </w:r>
            <w:r w:rsidRPr="00C379C8">
              <w:t xml:space="preserve"> – Measurement procedure for assessing incident power density, replaces SPR-003</w:t>
            </w:r>
          </w:p>
          <w:p w14:paraId="40DF7E65" w14:textId="77777777" w:rsidR="00FE448B" w:rsidRPr="00C379C8" w:rsidRDefault="00105B8E" w:rsidP="002F6A28">
            <w:pPr>
              <w:numPr>
                <w:ilvl w:val="0"/>
                <w:numId w:val="17"/>
              </w:numPr>
              <w:spacing w:before="120" w:after="120"/>
            </w:pPr>
            <w:r w:rsidRPr="00C379C8">
              <w:rPr>
                <w:b/>
                <w:bCs/>
              </w:rPr>
              <w:t>RSS-102.IPD.SIM Issue 1</w:t>
            </w:r>
            <w:r w:rsidRPr="00C379C8">
              <w:t xml:space="preserve"> – Simulation procedure for assessing incident power density, replaces SPR-003</w:t>
            </w:r>
            <w:bookmarkEnd w:id="26"/>
          </w:p>
        </w:tc>
      </w:tr>
      <w:tr w:rsidR="00B97455" w14:paraId="68A7593B" w14:textId="77777777" w:rsidTr="0069259F">
        <w:tc>
          <w:tcPr>
            <w:tcW w:w="713" w:type="dxa"/>
            <w:tcBorders>
              <w:top w:val="single" w:sz="6" w:space="0" w:color="auto"/>
              <w:bottom w:val="single" w:sz="6" w:space="0" w:color="auto"/>
            </w:tcBorders>
            <w:shd w:val="clear" w:color="auto" w:fill="auto"/>
          </w:tcPr>
          <w:p w14:paraId="0B7BE0DE" w14:textId="77777777" w:rsidR="00F85C99" w:rsidRPr="002F6A28" w:rsidRDefault="00105B8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A6E6863" w14:textId="77777777" w:rsidR="00F85C99" w:rsidRPr="002F6A28" w:rsidRDefault="00105B8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Consultation</w:t>
            </w:r>
            <w:bookmarkEnd w:id="28"/>
          </w:p>
        </w:tc>
      </w:tr>
      <w:tr w:rsidR="00B97455" w14:paraId="12ACA133" w14:textId="77777777" w:rsidTr="0069259F">
        <w:tc>
          <w:tcPr>
            <w:tcW w:w="713" w:type="dxa"/>
            <w:tcBorders>
              <w:top w:val="single" w:sz="6" w:space="0" w:color="auto"/>
              <w:bottom w:val="single" w:sz="6" w:space="0" w:color="auto"/>
            </w:tcBorders>
            <w:shd w:val="clear" w:color="auto" w:fill="auto"/>
          </w:tcPr>
          <w:p w14:paraId="77172045" w14:textId="77777777" w:rsidR="00F85C99" w:rsidRPr="002F6A28" w:rsidRDefault="00105B8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D3DF03A" w14:textId="77777777" w:rsidR="00072B36" w:rsidRPr="002F6A28" w:rsidRDefault="00105B8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C35AFF8" w14:textId="77777777" w:rsidR="00F85C99" w:rsidRPr="002F6A28" w:rsidRDefault="00105B8E" w:rsidP="009E75ED">
            <w:pPr>
              <w:spacing w:before="120" w:after="120"/>
            </w:pPr>
            <w:bookmarkStart w:id="30" w:name="sps9a"/>
            <w:r w:rsidRPr="002F6A28">
              <w:t>Not applicable</w:t>
            </w:r>
            <w:bookmarkEnd w:id="30"/>
          </w:p>
        </w:tc>
      </w:tr>
      <w:tr w:rsidR="00B97455" w14:paraId="1968F260" w14:textId="77777777" w:rsidTr="00AE6CC8">
        <w:trPr>
          <w:cantSplit/>
        </w:trPr>
        <w:tc>
          <w:tcPr>
            <w:tcW w:w="713" w:type="dxa"/>
            <w:tcBorders>
              <w:top w:val="single" w:sz="6" w:space="0" w:color="auto"/>
              <w:bottom w:val="single" w:sz="6" w:space="0" w:color="auto"/>
            </w:tcBorders>
            <w:shd w:val="clear" w:color="auto" w:fill="auto"/>
          </w:tcPr>
          <w:p w14:paraId="03B0EEC8" w14:textId="77777777" w:rsidR="00EE3A11" w:rsidRPr="002F6A28" w:rsidRDefault="00105B8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5C52C8C" w14:textId="77777777" w:rsidR="00EE3A11" w:rsidRPr="002F6A28" w:rsidRDefault="00105B8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Not applicable</w:t>
            </w:r>
            <w:bookmarkEnd w:id="33"/>
          </w:p>
          <w:p w14:paraId="684AD20C" w14:textId="77777777" w:rsidR="00EE3A11" w:rsidRPr="002F6A28" w:rsidRDefault="00105B8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Not applicable</w:t>
            </w:r>
            <w:bookmarkEnd w:id="36"/>
          </w:p>
        </w:tc>
      </w:tr>
      <w:tr w:rsidR="00B97455" w14:paraId="0E8FDA7B" w14:textId="77777777" w:rsidTr="0069259F">
        <w:tc>
          <w:tcPr>
            <w:tcW w:w="713" w:type="dxa"/>
            <w:tcBorders>
              <w:top w:val="single" w:sz="6" w:space="0" w:color="auto"/>
              <w:bottom w:val="single" w:sz="6" w:space="0" w:color="auto"/>
            </w:tcBorders>
            <w:shd w:val="clear" w:color="auto" w:fill="auto"/>
          </w:tcPr>
          <w:p w14:paraId="6A270272" w14:textId="77777777" w:rsidR="00F85C99" w:rsidRPr="002F6A28" w:rsidRDefault="00105B8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95CABE" w14:textId="77777777" w:rsidR="00F85C99" w:rsidRPr="002F6A28" w:rsidRDefault="00105B8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 September 2023</w:t>
            </w:r>
            <w:bookmarkEnd w:id="38"/>
          </w:p>
        </w:tc>
      </w:tr>
      <w:tr w:rsidR="00B97455" w14:paraId="10B75246" w14:textId="77777777" w:rsidTr="0069259F">
        <w:tc>
          <w:tcPr>
            <w:tcW w:w="713" w:type="dxa"/>
            <w:tcBorders>
              <w:top w:val="single" w:sz="6" w:space="0" w:color="auto"/>
            </w:tcBorders>
            <w:shd w:val="clear" w:color="auto" w:fill="auto"/>
          </w:tcPr>
          <w:p w14:paraId="3FBD531C" w14:textId="77777777" w:rsidR="00F85C99" w:rsidRPr="002F6A28" w:rsidRDefault="00105B8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D2A3C60" w14:textId="77777777" w:rsidR="00F85C99" w:rsidRPr="002F6A28" w:rsidRDefault="00105B8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85B1B99" w14:textId="77777777" w:rsidR="00EE3A11" w:rsidRPr="00A12DDE" w:rsidRDefault="00105B8E" w:rsidP="00B16145">
            <w:pPr>
              <w:keepNext/>
              <w:keepLines/>
              <w:rPr>
                <w:bCs/>
              </w:rPr>
            </w:pPr>
            <w:r w:rsidRPr="00A12DDE">
              <w:rPr>
                <w:bCs/>
              </w:rPr>
              <w:t>The electronic version of the regulatory text and comments are available on the following Web pages:</w:t>
            </w:r>
          </w:p>
          <w:p w14:paraId="1A3E8591" w14:textId="77777777" w:rsidR="00EE3A11" w:rsidRPr="00A12DDE" w:rsidRDefault="00105B8E" w:rsidP="00B16145">
            <w:pPr>
              <w:keepNext/>
              <w:keepLines/>
              <w:rPr>
                <w:bCs/>
              </w:rPr>
            </w:pPr>
            <w:r w:rsidRPr="00A12DDE">
              <w:rPr>
                <w:bCs/>
              </w:rPr>
              <w:t xml:space="preserve">RSS-102, Issue 6 </w:t>
            </w:r>
            <w:hyperlink r:id="rId9" w:tgtFrame="_blank" w:history="1">
              <w:r w:rsidRPr="00A12DDE">
                <w:rPr>
                  <w:bCs/>
                  <w:color w:val="0000FF"/>
                  <w:u w:val="single"/>
                </w:rPr>
                <w:t>https://www.rabc-cccr.ca/radio-standards-specification-rss-102-issue-6-radio-frequency-rf-exposure-compliance-of-radiocommunication-apparatus-all-frequency-bands/</w:t>
              </w:r>
            </w:hyperlink>
            <w:r w:rsidRPr="00A12DDE">
              <w:rPr>
                <w:bCs/>
              </w:rPr>
              <w:t xml:space="preserve"> (English)</w:t>
            </w:r>
          </w:p>
          <w:p w14:paraId="6B96BC01" w14:textId="77777777" w:rsidR="00EE3A11" w:rsidRPr="00A12DDE" w:rsidRDefault="00105B8E" w:rsidP="00B16145">
            <w:pPr>
              <w:keepNext/>
              <w:keepLines/>
              <w:spacing w:after="120"/>
              <w:rPr>
                <w:bCs/>
              </w:rPr>
            </w:pPr>
            <w:r w:rsidRPr="00A12DDE">
              <w:rPr>
                <w:bCs/>
              </w:rPr>
              <w:t xml:space="preserve">CNR-102, 6e édition </w:t>
            </w:r>
            <w:hyperlink r:id="rId10" w:tgtFrame="_blank" w:history="1">
              <w:r w:rsidRPr="00A12DDE">
                <w:rPr>
                  <w:bCs/>
                  <w:color w:val="0000FF"/>
                  <w:u w:val="single"/>
                </w:rPr>
                <w:t>https://www.rabc-cccr.ca/fr/cahier-des-charges-sur-les-normes-radioelectriques-cnr-102-6e-edition-conformite-des-appareils-de-radiocommunication-aux-limites-dexposition-humaine-aux-radiofrequences-rf-tout/</w:t>
              </w:r>
            </w:hyperlink>
            <w:r w:rsidRPr="00A12DDE">
              <w:rPr>
                <w:bCs/>
              </w:rPr>
              <w:t xml:space="preserve"> (French)</w:t>
            </w:r>
            <w:bookmarkEnd w:id="42"/>
          </w:p>
        </w:tc>
      </w:tr>
    </w:tbl>
    <w:p w14:paraId="63DC0E16"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3071" w14:textId="77777777" w:rsidR="00707F49" w:rsidRDefault="00105B8E">
      <w:r>
        <w:separator/>
      </w:r>
    </w:p>
  </w:endnote>
  <w:endnote w:type="continuationSeparator" w:id="0">
    <w:p w14:paraId="06A51C94" w14:textId="77777777" w:rsidR="00707F49" w:rsidRDefault="0010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453C" w14:textId="77777777" w:rsidR="009239F7" w:rsidRPr="002F6A28" w:rsidRDefault="00105B8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9A8B" w14:textId="77777777" w:rsidR="009239F7" w:rsidRPr="002F6A28" w:rsidRDefault="00105B8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2D9" w14:textId="77777777" w:rsidR="00EE3A11" w:rsidRPr="002F6A28" w:rsidRDefault="00105B8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B90B" w14:textId="77777777" w:rsidR="00707F49" w:rsidRDefault="00105B8E">
      <w:r>
        <w:separator/>
      </w:r>
    </w:p>
  </w:footnote>
  <w:footnote w:type="continuationSeparator" w:id="0">
    <w:p w14:paraId="5AB6DC91" w14:textId="77777777" w:rsidR="00707F49" w:rsidRDefault="0010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6D91" w14:textId="77777777" w:rsidR="009239F7" w:rsidRPr="002F6A28" w:rsidRDefault="00105B8E" w:rsidP="009239F7">
    <w:pPr>
      <w:pStyle w:val="En-tte"/>
      <w:pBdr>
        <w:bottom w:val="single" w:sz="4" w:space="1" w:color="auto"/>
      </w:pBdr>
      <w:tabs>
        <w:tab w:val="clear" w:pos="4513"/>
        <w:tab w:val="clear" w:pos="9027"/>
      </w:tabs>
      <w:jc w:val="center"/>
    </w:pPr>
    <w:r w:rsidRPr="002F6A28">
      <w:t>tbtSymbol</w:t>
    </w:r>
  </w:p>
  <w:p w14:paraId="4518201A" w14:textId="77777777" w:rsidR="009239F7" w:rsidRPr="002F6A28" w:rsidRDefault="009239F7" w:rsidP="009239F7">
    <w:pPr>
      <w:pStyle w:val="En-tte"/>
      <w:pBdr>
        <w:bottom w:val="single" w:sz="4" w:space="1" w:color="auto"/>
      </w:pBdr>
      <w:tabs>
        <w:tab w:val="clear" w:pos="4513"/>
        <w:tab w:val="clear" w:pos="9027"/>
      </w:tabs>
      <w:jc w:val="center"/>
    </w:pPr>
  </w:p>
  <w:p w14:paraId="499469C6" w14:textId="77777777" w:rsidR="009239F7" w:rsidRPr="002F6A28" w:rsidRDefault="00105B8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AAB316"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FC69" w14:textId="77777777" w:rsidR="009239F7" w:rsidRPr="002F6A28" w:rsidRDefault="00105B8E" w:rsidP="009239F7">
    <w:pPr>
      <w:pStyle w:val="En-tte"/>
      <w:pBdr>
        <w:bottom w:val="single" w:sz="4" w:space="1" w:color="auto"/>
      </w:pBdr>
      <w:tabs>
        <w:tab w:val="clear" w:pos="4513"/>
        <w:tab w:val="clear" w:pos="9027"/>
      </w:tabs>
      <w:jc w:val="center"/>
    </w:pPr>
    <w:bookmarkStart w:id="43" w:name="spsSymbolHeader"/>
    <w:r w:rsidRPr="002F6A28">
      <w:t>G/TBT/N/CAN/697</w:t>
    </w:r>
    <w:bookmarkEnd w:id="43"/>
  </w:p>
  <w:p w14:paraId="6A623FF4" w14:textId="77777777" w:rsidR="009239F7" w:rsidRPr="002F6A28" w:rsidRDefault="009239F7" w:rsidP="009239F7">
    <w:pPr>
      <w:pStyle w:val="En-tte"/>
      <w:pBdr>
        <w:bottom w:val="single" w:sz="4" w:space="1" w:color="auto"/>
      </w:pBdr>
      <w:tabs>
        <w:tab w:val="clear" w:pos="4513"/>
        <w:tab w:val="clear" w:pos="9027"/>
      </w:tabs>
      <w:jc w:val="center"/>
    </w:pPr>
  </w:p>
  <w:p w14:paraId="563C5E90" w14:textId="77777777" w:rsidR="009239F7" w:rsidRPr="002F6A28" w:rsidRDefault="00105B8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049BD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7455" w14:paraId="5ADC4E20" w14:textId="77777777" w:rsidTr="008612A9">
      <w:trPr>
        <w:trHeight w:val="240"/>
        <w:jc w:val="center"/>
      </w:trPr>
      <w:tc>
        <w:tcPr>
          <w:tcW w:w="3794" w:type="dxa"/>
          <w:shd w:val="clear" w:color="auto" w:fill="FFFFFF"/>
          <w:tcMar>
            <w:left w:w="108" w:type="dxa"/>
            <w:right w:w="108" w:type="dxa"/>
          </w:tcMar>
          <w:vAlign w:val="center"/>
        </w:tcPr>
        <w:p w14:paraId="53417FF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2D6F0B0" w14:textId="77777777" w:rsidR="00ED54E0" w:rsidRPr="009239F7" w:rsidRDefault="00ED54E0" w:rsidP="00B801E9">
          <w:pPr>
            <w:jc w:val="right"/>
            <w:rPr>
              <w:b/>
              <w:color w:val="FF0000"/>
              <w:szCs w:val="16"/>
            </w:rPr>
          </w:pPr>
        </w:p>
      </w:tc>
    </w:tr>
    <w:bookmarkEnd w:id="44"/>
    <w:tr w:rsidR="00B97455" w14:paraId="112429AB" w14:textId="77777777" w:rsidTr="008612A9">
      <w:trPr>
        <w:trHeight w:val="213"/>
        <w:jc w:val="center"/>
      </w:trPr>
      <w:tc>
        <w:tcPr>
          <w:tcW w:w="3794" w:type="dxa"/>
          <w:vMerge w:val="restart"/>
          <w:shd w:val="clear" w:color="auto" w:fill="FFFFFF"/>
          <w:tcMar>
            <w:left w:w="0" w:type="dxa"/>
            <w:right w:w="0" w:type="dxa"/>
          </w:tcMar>
        </w:tcPr>
        <w:p w14:paraId="50AE18AF" w14:textId="77777777" w:rsidR="00ED54E0" w:rsidRPr="009239F7" w:rsidRDefault="00105B8E" w:rsidP="00B801E9">
          <w:pPr>
            <w:jc w:val="left"/>
          </w:pPr>
          <w:r>
            <w:rPr>
              <w:noProof/>
              <w:lang w:eastAsia="en-GB"/>
            </w:rPr>
            <w:drawing>
              <wp:inline distT="0" distB="0" distL="0" distR="0" wp14:anchorId="06917AFB" wp14:editId="16279E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521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F5E377" w14:textId="77777777" w:rsidR="00ED54E0" w:rsidRPr="009239F7" w:rsidRDefault="00ED54E0" w:rsidP="00B801E9">
          <w:pPr>
            <w:jc w:val="right"/>
            <w:rPr>
              <w:b/>
              <w:szCs w:val="16"/>
            </w:rPr>
          </w:pPr>
        </w:p>
      </w:tc>
    </w:tr>
    <w:tr w:rsidR="00B97455" w14:paraId="40C513AF" w14:textId="77777777" w:rsidTr="008612A9">
      <w:trPr>
        <w:trHeight w:val="868"/>
        <w:jc w:val="center"/>
      </w:trPr>
      <w:tc>
        <w:tcPr>
          <w:tcW w:w="3794" w:type="dxa"/>
          <w:vMerge/>
          <w:shd w:val="clear" w:color="auto" w:fill="FFFFFF"/>
          <w:tcMar>
            <w:left w:w="108" w:type="dxa"/>
            <w:right w:w="108" w:type="dxa"/>
          </w:tcMar>
        </w:tcPr>
        <w:p w14:paraId="335F4C0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9F395C2" w14:textId="77777777" w:rsidR="009239F7" w:rsidRPr="002F6A28" w:rsidRDefault="00105B8E" w:rsidP="00B801E9">
          <w:pPr>
            <w:jc w:val="right"/>
            <w:rPr>
              <w:b/>
              <w:szCs w:val="16"/>
            </w:rPr>
          </w:pPr>
          <w:bookmarkStart w:id="45" w:name="bmkSymbols"/>
          <w:r w:rsidRPr="002F6A28">
            <w:rPr>
              <w:b/>
              <w:szCs w:val="16"/>
            </w:rPr>
            <w:t>G/TBT/N/CAN/697</w:t>
          </w:r>
          <w:bookmarkEnd w:id="45"/>
        </w:p>
      </w:tc>
    </w:tr>
    <w:tr w:rsidR="00B97455" w14:paraId="6A87676A" w14:textId="77777777" w:rsidTr="008612A9">
      <w:trPr>
        <w:trHeight w:val="240"/>
        <w:jc w:val="center"/>
      </w:trPr>
      <w:tc>
        <w:tcPr>
          <w:tcW w:w="3794" w:type="dxa"/>
          <w:vMerge/>
          <w:shd w:val="clear" w:color="auto" w:fill="FFFFFF"/>
          <w:tcMar>
            <w:left w:w="108" w:type="dxa"/>
            <w:right w:w="108" w:type="dxa"/>
          </w:tcMar>
          <w:vAlign w:val="center"/>
        </w:tcPr>
        <w:p w14:paraId="6391031A" w14:textId="77777777" w:rsidR="00ED54E0" w:rsidRPr="009239F7" w:rsidRDefault="00ED54E0" w:rsidP="00B801E9"/>
      </w:tc>
      <w:tc>
        <w:tcPr>
          <w:tcW w:w="5448" w:type="dxa"/>
          <w:gridSpan w:val="2"/>
          <w:shd w:val="clear" w:color="auto" w:fill="FFFFFF"/>
          <w:tcMar>
            <w:left w:w="108" w:type="dxa"/>
            <w:right w:w="108" w:type="dxa"/>
          </w:tcMar>
          <w:vAlign w:val="center"/>
        </w:tcPr>
        <w:p w14:paraId="4D30F72D" w14:textId="7B6F38AA" w:rsidR="00ED54E0" w:rsidRPr="009239F7" w:rsidRDefault="00AA7ADC" w:rsidP="00B801E9">
          <w:pPr>
            <w:jc w:val="right"/>
            <w:rPr>
              <w:szCs w:val="16"/>
            </w:rPr>
          </w:pPr>
          <w:bookmarkStart w:id="46" w:name="spsDateDistribution"/>
          <w:bookmarkStart w:id="47" w:name="bmkDate"/>
          <w:bookmarkEnd w:id="46"/>
          <w:bookmarkEnd w:id="47"/>
          <w:r>
            <w:rPr>
              <w:szCs w:val="16"/>
            </w:rPr>
            <w:t>9 June 2023</w:t>
          </w:r>
        </w:p>
      </w:tc>
    </w:tr>
    <w:tr w:rsidR="00B97455" w14:paraId="6EDBF24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974730" w14:textId="4282AF50" w:rsidR="00ED54E0" w:rsidRPr="009239F7" w:rsidRDefault="00105B8E" w:rsidP="0097650D">
          <w:pPr>
            <w:jc w:val="left"/>
            <w:rPr>
              <w:b/>
            </w:rPr>
          </w:pPr>
          <w:bookmarkStart w:id="48" w:name="bmkSerial"/>
          <w:r w:rsidRPr="002F6A28">
            <w:rPr>
              <w:color w:val="FF0000"/>
              <w:szCs w:val="16"/>
            </w:rPr>
            <w:t>(</w:t>
          </w:r>
          <w:bookmarkStart w:id="49" w:name="spsSerialNumber"/>
          <w:bookmarkEnd w:id="49"/>
          <w:r w:rsidR="00AA7ADC">
            <w:rPr>
              <w:color w:val="FF0000"/>
              <w:szCs w:val="16"/>
            </w:rPr>
            <w:t>23-</w:t>
          </w:r>
          <w:r w:rsidR="00B937F1">
            <w:rPr>
              <w:color w:val="FF0000"/>
              <w:szCs w:val="16"/>
            </w:rPr>
            <w:t>3957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92FC0B" w14:textId="77777777" w:rsidR="00ED54E0" w:rsidRPr="009239F7" w:rsidRDefault="00105B8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97455" w14:paraId="4E76B1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EAAE85" w14:textId="77777777" w:rsidR="00ED54E0" w:rsidRPr="009239F7" w:rsidRDefault="00105B8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435C941" w14:textId="613B0CA2" w:rsidR="00ED54E0" w:rsidRPr="002F6A28" w:rsidRDefault="00105B8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r w:rsidR="00AA7ADC">
            <w:rPr>
              <w:bCs/>
              <w:szCs w:val="18"/>
            </w:rPr>
            <w:t>/</w:t>
          </w:r>
          <w:r w:rsidR="00F263FA" w:rsidRPr="002F6A28">
            <w:rPr>
              <w:bCs/>
              <w:szCs w:val="18"/>
            </w:rPr>
            <w:t>French</w:t>
          </w:r>
          <w:bookmarkEnd w:id="53"/>
          <w:bookmarkEnd w:id="52"/>
        </w:p>
      </w:tc>
    </w:tr>
  </w:tbl>
  <w:p w14:paraId="3A849B7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4A542C">
      <w:start w:val="1"/>
      <w:numFmt w:val="decimal"/>
      <w:pStyle w:val="SummaryText"/>
      <w:lvlText w:val="%1."/>
      <w:lvlJc w:val="left"/>
      <w:pPr>
        <w:ind w:left="360" w:hanging="360"/>
      </w:pPr>
    </w:lvl>
    <w:lvl w:ilvl="1" w:tplc="B8087894" w:tentative="1">
      <w:start w:val="1"/>
      <w:numFmt w:val="lowerLetter"/>
      <w:lvlText w:val="%2."/>
      <w:lvlJc w:val="left"/>
      <w:pPr>
        <w:ind w:left="1080" w:hanging="360"/>
      </w:pPr>
    </w:lvl>
    <w:lvl w:ilvl="2" w:tplc="29E241EE" w:tentative="1">
      <w:start w:val="1"/>
      <w:numFmt w:val="lowerRoman"/>
      <w:lvlText w:val="%3."/>
      <w:lvlJc w:val="right"/>
      <w:pPr>
        <w:ind w:left="1800" w:hanging="180"/>
      </w:pPr>
    </w:lvl>
    <w:lvl w:ilvl="3" w:tplc="9984D1DA" w:tentative="1">
      <w:start w:val="1"/>
      <w:numFmt w:val="decimal"/>
      <w:lvlText w:val="%4."/>
      <w:lvlJc w:val="left"/>
      <w:pPr>
        <w:ind w:left="2520" w:hanging="360"/>
      </w:pPr>
    </w:lvl>
    <w:lvl w:ilvl="4" w:tplc="0EA89EB2" w:tentative="1">
      <w:start w:val="1"/>
      <w:numFmt w:val="lowerLetter"/>
      <w:lvlText w:val="%5."/>
      <w:lvlJc w:val="left"/>
      <w:pPr>
        <w:ind w:left="3240" w:hanging="360"/>
      </w:pPr>
    </w:lvl>
    <w:lvl w:ilvl="5" w:tplc="96E42394" w:tentative="1">
      <w:start w:val="1"/>
      <w:numFmt w:val="lowerRoman"/>
      <w:lvlText w:val="%6."/>
      <w:lvlJc w:val="right"/>
      <w:pPr>
        <w:ind w:left="3960" w:hanging="180"/>
      </w:pPr>
    </w:lvl>
    <w:lvl w:ilvl="6" w:tplc="5D40F062" w:tentative="1">
      <w:start w:val="1"/>
      <w:numFmt w:val="decimal"/>
      <w:lvlText w:val="%7."/>
      <w:lvlJc w:val="left"/>
      <w:pPr>
        <w:ind w:left="4680" w:hanging="360"/>
      </w:pPr>
    </w:lvl>
    <w:lvl w:ilvl="7" w:tplc="79D69266" w:tentative="1">
      <w:start w:val="1"/>
      <w:numFmt w:val="lowerLetter"/>
      <w:lvlText w:val="%8."/>
      <w:lvlJc w:val="left"/>
      <w:pPr>
        <w:ind w:left="5400" w:hanging="360"/>
      </w:pPr>
    </w:lvl>
    <w:lvl w:ilvl="8" w:tplc="CADC03D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C7C2B62">
      <w:start w:val="1"/>
      <w:numFmt w:val="bullet"/>
      <w:lvlText w:val=""/>
      <w:lvlJc w:val="left"/>
      <w:pPr>
        <w:ind w:left="720" w:hanging="360"/>
      </w:pPr>
      <w:rPr>
        <w:rFonts w:ascii="Symbol" w:hAnsi="Symbol"/>
      </w:rPr>
    </w:lvl>
    <w:lvl w:ilvl="1" w:tplc="A928FE14">
      <w:start w:val="1"/>
      <w:numFmt w:val="bullet"/>
      <w:lvlText w:val="o"/>
      <w:lvlJc w:val="left"/>
      <w:pPr>
        <w:tabs>
          <w:tab w:val="num" w:pos="1440"/>
        </w:tabs>
        <w:ind w:left="1440" w:hanging="360"/>
      </w:pPr>
      <w:rPr>
        <w:rFonts w:ascii="Courier New" w:hAnsi="Courier New"/>
      </w:rPr>
    </w:lvl>
    <w:lvl w:ilvl="2" w:tplc="09FC844A">
      <w:start w:val="1"/>
      <w:numFmt w:val="bullet"/>
      <w:lvlText w:val=""/>
      <w:lvlJc w:val="left"/>
      <w:pPr>
        <w:tabs>
          <w:tab w:val="num" w:pos="2160"/>
        </w:tabs>
        <w:ind w:left="2160" w:hanging="360"/>
      </w:pPr>
      <w:rPr>
        <w:rFonts w:ascii="Wingdings" w:hAnsi="Wingdings"/>
      </w:rPr>
    </w:lvl>
    <w:lvl w:ilvl="3" w:tplc="7AAC9E96">
      <w:start w:val="1"/>
      <w:numFmt w:val="bullet"/>
      <w:lvlText w:val=""/>
      <w:lvlJc w:val="left"/>
      <w:pPr>
        <w:tabs>
          <w:tab w:val="num" w:pos="2880"/>
        </w:tabs>
        <w:ind w:left="2880" w:hanging="360"/>
      </w:pPr>
      <w:rPr>
        <w:rFonts w:ascii="Symbol" w:hAnsi="Symbol"/>
      </w:rPr>
    </w:lvl>
    <w:lvl w:ilvl="4" w:tplc="5E9CFA32">
      <w:start w:val="1"/>
      <w:numFmt w:val="bullet"/>
      <w:lvlText w:val="o"/>
      <w:lvlJc w:val="left"/>
      <w:pPr>
        <w:tabs>
          <w:tab w:val="num" w:pos="3600"/>
        </w:tabs>
        <w:ind w:left="3600" w:hanging="360"/>
      </w:pPr>
      <w:rPr>
        <w:rFonts w:ascii="Courier New" w:hAnsi="Courier New"/>
      </w:rPr>
    </w:lvl>
    <w:lvl w:ilvl="5" w:tplc="03681E26">
      <w:start w:val="1"/>
      <w:numFmt w:val="bullet"/>
      <w:lvlText w:val=""/>
      <w:lvlJc w:val="left"/>
      <w:pPr>
        <w:tabs>
          <w:tab w:val="num" w:pos="4320"/>
        </w:tabs>
        <w:ind w:left="4320" w:hanging="360"/>
      </w:pPr>
      <w:rPr>
        <w:rFonts w:ascii="Wingdings" w:hAnsi="Wingdings"/>
      </w:rPr>
    </w:lvl>
    <w:lvl w:ilvl="6" w:tplc="00AADBA0">
      <w:start w:val="1"/>
      <w:numFmt w:val="bullet"/>
      <w:lvlText w:val=""/>
      <w:lvlJc w:val="left"/>
      <w:pPr>
        <w:tabs>
          <w:tab w:val="num" w:pos="5040"/>
        </w:tabs>
        <w:ind w:left="5040" w:hanging="360"/>
      </w:pPr>
      <w:rPr>
        <w:rFonts w:ascii="Symbol" w:hAnsi="Symbol"/>
      </w:rPr>
    </w:lvl>
    <w:lvl w:ilvl="7" w:tplc="0FE65250">
      <w:start w:val="1"/>
      <w:numFmt w:val="bullet"/>
      <w:lvlText w:val="o"/>
      <w:lvlJc w:val="left"/>
      <w:pPr>
        <w:tabs>
          <w:tab w:val="num" w:pos="5760"/>
        </w:tabs>
        <w:ind w:left="5760" w:hanging="360"/>
      </w:pPr>
      <w:rPr>
        <w:rFonts w:ascii="Courier New" w:hAnsi="Courier New"/>
      </w:rPr>
    </w:lvl>
    <w:lvl w:ilvl="8" w:tplc="4418D68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455AF610">
      <w:start w:val="1"/>
      <w:numFmt w:val="bullet"/>
      <w:lvlText w:val=""/>
      <w:lvlJc w:val="left"/>
      <w:pPr>
        <w:ind w:left="720" w:hanging="360"/>
      </w:pPr>
      <w:rPr>
        <w:rFonts w:ascii="Symbol" w:hAnsi="Symbol"/>
      </w:rPr>
    </w:lvl>
    <w:lvl w:ilvl="1" w:tplc="80443FEC">
      <w:start w:val="1"/>
      <w:numFmt w:val="bullet"/>
      <w:lvlText w:val="o"/>
      <w:lvlJc w:val="left"/>
      <w:pPr>
        <w:tabs>
          <w:tab w:val="num" w:pos="1440"/>
        </w:tabs>
        <w:ind w:left="1440" w:hanging="360"/>
      </w:pPr>
      <w:rPr>
        <w:rFonts w:ascii="Courier New" w:hAnsi="Courier New"/>
      </w:rPr>
    </w:lvl>
    <w:lvl w:ilvl="2" w:tplc="96D26338">
      <w:start w:val="1"/>
      <w:numFmt w:val="bullet"/>
      <w:lvlText w:val=""/>
      <w:lvlJc w:val="left"/>
      <w:pPr>
        <w:tabs>
          <w:tab w:val="num" w:pos="2160"/>
        </w:tabs>
        <w:ind w:left="2160" w:hanging="360"/>
      </w:pPr>
      <w:rPr>
        <w:rFonts w:ascii="Wingdings" w:hAnsi="Wingdings"/>
      </w:rPr>
    </w:lvl>
    <w:lvl w:ilvl="3" w:tplc="E06C4F80">
      <w:start w:val="1"/>
      <w:numFmt w:val="bullet"/>
      <w:lvlText w:val=""/>
      <w:lvlJc w:val="left"/>
      <w:pPr>
        <w:tabs>
          <w:tab w:val="num" w:pos="2880"/>
        </w:tabs>
        <w:ind w:left="2880" w:hanging="360"/>
      </w:pPr>
      <w:rPr>
        <w:rFonts w:ascii="Symbol" w:hAnsi="Symbol"/>
      </w:rPr>
    </w:lvl>
    <w:lvl w:ilvl="4" w:tplc="679EB4FC">
      <w:start w:val="1"/>
      <w:numFmt w:val="bullet"/>
      <w:lvlText w:val="o"/>
      <w:lvlJc w:val="left"/>
      <w:pPr>
        <w:tabs>
          <w:tab w:val="num" w:pos="3600"/>
        </w:tabs>
        <w:ind w:left="3600" w:hanging="360"/>
      </w:pPr>
      <w:rPr>
        <w:rFonts w:ascii="Courier New" w:hAnsi="Courier New"/>
      </w:rPr>
    </w:lvl>
    <w:lvl w:ilvl="5" w:tplc="A3B61758">
      <w:start w:val="1"/>
      <w:numFmt w:val="bullet"/>
      <w:lvlText w:val=""/>
      <w:lvlJc w:val="left"/>
      <w:pPr>
        <w:tabs>
          <w:tab w:val="num" w:pos="4320"/>
        </w:tabs>
        <w:ind w:left="4320" w:hanging="360"/>
      </w:pPr>
      <w:rPr>
        <w:rFonts w:ascii="Wingdings" w:hAnsi="Wingdings"/>
      </w:rPr>
    </w:lvl>
    <w:lvl w:ilvl="6" w:tplc="F1BC787E">
      <w:start w:val="1"/>
      <w:numFmt w:val="bullet"/>
      <w:lvlText w:val=""/>
      <w:lvlJc w:val="left"/>
      <w:pPr>
        <w:tabs>
          <w:tab w:val="num" w:pos="5040"/>
        </w:tabs>
        <w:ind w:left="5040" w:hanging="360"/>
      </w:pPr>
      <w:rPr>
        <w:rFonts w:ascii="Symbol" w:hAnsi="Symbol"/>
      </w:rPr>
    </w:lvl>
    <w:lvl w:ilvl="7" w:tplc="00BC8150">
      <w:start w:val="1"/>
      <w:numFmt w:val="bullet"/>
      <w:lvlText w:val="o"/>
      <w:lvlJc w:val="left"/>
      <w:pPr>
        <w:tabs>
          <w:tab w:val="num" w:pos="5760"/>
        </w:tabs>
        <w:ind w:left="5760" w:hanging="360"/>
      </w:pPr>
      <w:rPr>
        <w:rFonts w:ascii="Courier New" w:hAnsi="Courier New"/>
      </w:rPr>
    </w:lvl>
    <w:lvl w:ilvl="8" w:tplc="78F2415E">
      <w:start w:val="1"/>
      <w:numFmt w:val="bullet"/>
      <w:lvlText w:val=""/>
      <w:lvlJc w:val="left"/>
      <w:pPr>
        <w:tabs>
          <w:tab w:val="num" w:pos="6480"/>
        </w:tabs>
        <w:ind w:left="6480" w:hanging="360"/>
      </w:pPr>
      <w:rPr>
        <w:rFonts w:ascii="Wingdings" w:hAnsi="Wingdings"/>
      </w:rPr>
    </w:lvl>
  </w:abstractNum>
  <w:num w:numId="1" w16cid:durableId="103579217">
    <w:abstractNumId w:val="9"/>
  </w:num>
  <w:num w:numId="2" w16cid:durableId="783158151">
    <w:abstractNumId w:val="7"/>
  </w:num>
  <w:num w:numId="3" w16cid:durableId="1112281567">
    <w:abstractNumId w:val="6"/>
  </w:num>
  <w:num w:numId="4" w16cid:durableId="1785346286">
    <w:abstractNumId w:val="5"/>
  </w:num>
  <w:num w:numId="5" w16cid:durableId="510611213">
    <w:abstractNumId w:val="4"/>
  </w:num>
  <w:num w:numId="6" w16cid:durableId="552348397">
    <w:abstractNumId w:val="12"/>
  </w:num>
  <w:num w:numId="7" w16cid:durableId="1121074156">
    <w:abstractNumId w:val="11"/>
  </w:num>
  <w:num w:numId="8" w16cid:durableId="1943875594">
    <w:abstractNumId w:val="10"/>
  </w:num>
  <w:num w:numId="9" w16cid:durableId="1828133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40269">
    <w:abstractNumId w:val="13"/>
  </w:num>
  <w:num w:numId="11" w16cid:durableId="1641837399">
    <w:abstractNumId w:val="8"/>
  </w:num>
  <w:num w:numId="12" w16cid:durableId="1598099333">
    <w:abstractNumId w:val="3"/>
  </w:num>
  <w:num w:numId="13" w16cid:durableId="725686105">
    <w:abstractNumId w:val="2"/>
  </w:num>
  <w:num w:numId="14" w16cid:durableId="827093766">
    <w:abstractNumId w:val="1"/>
  </w:num>
  <w:num w:numId="15" w16cid:durableId="1024553973">
    <w:abstractNumId w:val="0"/>
  </w:num>
  <w:num w:numId="16" w16cid:durableId="254555137">
    <w:abstractNumId w:val="14"/>
  </w:num>
  <w:num w:numId="17" w16cid:durableId="19421076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5B8E"/>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325B6"/>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7F49"/>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A7AD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37F1"/>
    <w:rsid w:val="00B97455"/>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45B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international.gc.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abc-cccr.ca/fr/cahier-des-charges-sur-les-normes-radioelectriques-cnr-102-6e-edition-conformite-des-appareils-de-radiocommunication-aux-limites-dexposition-humaine-aux-radiofrequences-rf-tout/" TargetMode="External"/><Relationship Id="rId4" Type="http://schemas.openxmlformats.org/officeDocument/2006/relationships/settings" Target="settings.xml"/><Relationship Id="rId9" Type="http://schemas.openxmlformats.org/officeDocument/2006/relationships/hyperlink" Target="https://www.rabc-cccr.ca/radio-standards-specification-rss-102-issue-6-radio-frequency-rf-exposure-compliance-of-radiocommunication-apparatus-all-frequency-band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3ca1cb86-3344-4828-aa64-d3fc2faf7195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B95CFA-A635-4AFA-AA4F-3CF60F05790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2023-06-09T13:41:00Z</dcterms:created>
  <dcterms:modified xsi:type="dcterms:W3CDTF">2023-06-09T14:03:00Z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3ca1cb86-3344-4828-aa64-d3fc2faf7195</vt:lpwstr>
  </property>
  <property fmtid="{D5CDD505-2E9C-101B-9397-08002B2CF9AE}" pid="4" name="WTOCLASSIFICATION">
    <vt:lpwstr>WTO OFFICIAL</vt:lpwstr>
  </property>
</Properties>
</file>