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D2B0" w14:textId="77777777" w:rsidR="002D78C9" w:rsidRDefault="009D1FF8" w:rsidP="00DD3DD7">
      <w:pPr>
        <w:pStyle w:val="Title"/>
      </w:pPr>
      <w:r w:rsidRPr="002F663C">
        <w:t>NOTIFICATION</w:t>
      </w:r>
    </w:p>
    <w:p w14:paraId="0D649217" w14:textId="77777777" w:rsidR="002F663C" w:rsidRPr="002F663C" w:rsidRDefault="009D1FF8" w:rsidP="00DD3DD7">
      <w:pPr>
        <w:pStyle w:val="Title3"/>
      </w:pPr>
      <w:r w:rsidRPr="002F663C">
        <w:t>Addendum</w:t>
      </w:r>
    </w:p>
    <w:p w14:paraId="66454243" w14:textId="77777777" w:rsidR="002F663C" w:rsidRDefault="009D1FF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21 June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0A0BF03D" w14:textId="77777777" w:rsidR="001E2E4A" w:rsidRPr="002F663C" w:rsidRDefault="001E2E4A" w:rsidP="001E2E4A">
      <w:pPr>
        <w:rPr>
          <w:rFonts w:eastAsia="Calibri" w:cs="Times New Roman"/>
        </w:rPr>
      </w:pPr>
    </w:p>
    <w:p w14:paraId="070C1D38" w14:textId="77777777" w:rsidR="002F663C" w:rsidRPr="002F663C" w:rsidRDefault="009D1FF8" w:rsidP="002F663C">
      <w:pPr>
        <w:jc w:val="center"/>
        <w:rPr>
          <w:rFonts w:eastAsia="Calibri" w:cs="Times New Roman"/>
          <w:b/>
        </w:rPr>
      </w:pPr>
      <w:r w:rsidRPr="002F663C">
        <w:rPr>
          <w:rFonts w:eastAsia="Calibri" w:cs="Times New Roman"/>
          <w:b/>
        </w:rPr>
        <w:t>_______________</w:t>
      </w:r>
    </w:p>
    <w:p w14:paraId="76C9A4A3" w14:textId="77777777" w:rsidR="002F663C" w:rsidRDefault="002F663C" w:rsidP="002F663C">
      <w:pPr>
        <w:rPr>
          <w:rFonts w:eastAsia="Calibri" w:cs="Times New Roman"/>
        </w:rPr>
      </w:pPr>
    </w:p>
    <w:p w14:paraId="30BE035E" w14:textId="77777777" w:rsidR="00C14444" w:rsidRPr="002F663C" w:rsidRDefault="00C14444" w:rsidP="002F663C">
      <w:pPr>
        <w:rPr>
          <w:rFonts w:eastAsia="Calibri" w:cs="Times New Roman"/>
        </w:rPr>
      </w:pPr>
    </w:p>
    <w:p w14:paraId="0493F442" w14:textId="77777777" w:rsidR="002F663C" w:rsidRPr="002F663C" w:rsidRDefault="009D1FF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Current Good Manufacturing Practice, Certification, Postmarketing Safety Reporting, and Labeling Requirements for Certain Medical Gases</w:t>
      </w:r>
    </w:p>
    <w:p w14:paraId="3B0E49E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32C34" w14:paraId="7887B3D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E3669DB" w14:textId="77777777" w:rsidR="002F663C" w:rsidRPr="002F663C" w:rsidRDefault="009D1FF8"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132C34" w14:paraId="6F258035" w14:textId="77777777" w:rsidTr="00E9471B">
        <w:tc>
          <w:tcPr>
            <w:tcW w:w="851" w:type="dxa"/>
            <w:shd w:val="clear" w:color="auto" w:fill="auto"/>
          </w:tcPr>
          <w:p w14:paraId="090B7C01" w14:textId="77777777" w:rsidR="002F663C" w:rsidRPr="00711F9C" w:rsidRDefault="009D1FF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8A0E2B2" w14:textId="77777777" w:rsidR="002F663C" w:rsidRPr="002F663C" w:rsidRDefault="009D1FF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132C34" w14:paraId="3028FE99" w14:textId="77777777" w:rsidTr="00E9471B">
        <w:tc>
          <w:tcPr>
            <w:tcW w:w="851" w:type="dxa"/>
            <w:shd w:val="clear" w:color="auto" w:fill="auto"/>
          </w:tcPr>
          <w:p w14:paraId="0CB45E47" w14:textId="77777777" w:rsidR="002F663C" w:rsidRPr="00711F9C" w:rsidRDefault="009D1FF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E91885B" w14:textId="77777777" w:rsidR="002F663C" w:rsidRPr="002F663C" w:rsidRDefault="009D1FF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132C34" w14:paraId="732BAD6B" w14:textId="77777777" w:rsidTr="00E9471B">
        <w:tc>
          <w:tcPr>
            <w:tcW w:w="851" w:type="dxa"/>
            <w:shd w:val="clear" w:color="auto" w:fill="auto"/>
          </w:tcPr>
          <w:p w14:paraId="2FBC1105" w14:textId="77777777" w:rsidR="002F663C" w:rsidRPr="00711F9C" w:rsidRDefault="009D1FF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CE5B3B2" w14:textId="77777777" w:rsidR="002F663C" w:rsidRPr="002F663C" w:rsidRDefault="009D1FF8"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18 June 2024</w:t>
            </w:r>
          </w:p>
        </w:tc>
      </w:tr>
      <w:tr w:rsidR="00132C34" w14:paraId="46E43D93" w14:textId="77777777" w:rsidTr="00E9471B">
        <w:tc>
          <w:tcPr>
            <w:tcW w:w="851" w:type="dxa"/>
            <w:shd w:val="clear" w:color="auto" w:fill="auto"/>
          </w:tcPr>
          <w:p w14:paraId="6DA8E871" w14:textId="77777777" w:rsidR="002F663C" w:rsidRPr="00711F9C" w:rsidRDefault="009D1FF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3EA1996" w14:textId="77777777" w:rsidR="002F663C" w:rsidRPr="002F663C" w:rsidRDefault="009D1FF8"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18 December 2025; This rule is effective 18 December 2025, except for the amendments to Sec. Sec. 4.2 (amendatory instruction 2), 4.3 (amendatory instruction 3), and 4.4 (amendatory instruction 4) (21 CFR 4.2, 4.3, and 4.4), which are effective 2 February 2026. The incorporation by reference of certain material listed in this rule has been approved by the Director of the Federal Register as of 2 February 2026.</w:t>
            </w:r>
          </w:p>
        </w:tc>
      </w:tr>
      <w:tr w:rsidR="00132C34" w14:paraId="1564309A" w14:textId="77777777" w:rsidTr="00E9471B">
        <w:tc>
          <w:tcPr>
            <w:tcW w:w="851" w:type="dxa"/>
            <w:shd w:val="clear" w:color="auto" w:fill="auto"/>
          </w:tcPr>
          <w:p w14:paraId="3D1AFF14" w14:textId="77777777" w:rsidR="002F663C" w:rsidRPr="00711F9C" w:rsidRDefault="009D1FF8"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FB87177" w14:textId="77777777" w:rsidR="002F663C" w:rsidRPr="002F663C" w:rsidRDefault="009D1FF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71E5BBD8" w14:textId="77777777" w:rsidR="002F663C" w:rsidRPr="002F663C" w:rsidRDefault="009C3FAA" w:rsidP="00EB7B40">
            <w:pPr>
              <w:spacing w:before="120" w:after="120"/>
              <w:rPr>
                <w:rFonts w:eastAsia="Calibri" w:cs="Times New Roman"/>
              </w:rPr>
            </w:pPr>
            <w:hyperlink r:id="rId9" w:tgtFrame="_blank" w:history="1">
              <w:r w:rsidR="009D1FF8" w:rsidRPr="002F663C">
                <w:rPr>
                  <w:rFonts w:eastAsia="Calibri" w:cs="Times New Roman"/>
                  <w:color w:val="0000FF"/>
                  <w:u w:val="single"/>
                </w:rPr>
                <w:t>https://members.wto.org/crnattachments/2024/TBT/USA/final_measure/24_03898_00_e.pdf</w:t>
              </w:r>
            </w:hyperlink>
          </w:p>
        </w:tc>
      </w:tr>
      <w:tr w:rsidR="00132C34" w14:paraId="157DD128" w14:textId="77777777" w:rsidTr="00E9471B">
        <w:tc>
          <w:tcPr>
            <w:tcW w:w="851" w:type="dxa"/>
            <w:shd w:val="clear" w:color="auto" w:fill="auto"/>
          </w:tcPr>
          <w:p w14:paraId="3FA94369" w14:textId="77777777" w:rsidR="002F663C" w:rsidRPr="00711F9C" w:rsidRDefault="009D1FF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B8BE736" w14:textId="77777777" w:rsidR="002F663C" w:rsidRPr="002F663C" w:rsidRDefault="009D1FF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2131FB2E" w14:textId="77777777" w:rsidR="002F663C" w:rsidRPr="002F663C" w:rsidRDefault="009D1FF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132C34" w14:paraId="36B820F6" w14:textId="77777777" w:rsidTr="00E9471B">
        <w:tc>
          <w:tcPr>
            <w:tcW w:w="851" w:type="dxa"/>
            <w:shd w:val="clear" w:color="auto" w:fill="auto"/>
          </w:tcPr>
          <w:p w14:paraId="16CD9CE9" w14:textId="77777777" w:rsidR="002F663C" w:rsidRPr="00711F9C" w:rsidRDefault="009D1FF8"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9096504" w14:textId="77777777" w:rsidR="002F663C" w:rsidRPr="002F663C" w:rsidRDefault="009D1FF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8754A82" w14:textId="77777777" w:rsidR="002F663C" w:rsidRPr="002F663C" w:rsidRDefault="009D1FF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132C34" w14:paraId="34DE2B1E" w14:textId="77777777" w:rsidTr="00E9471B">
        <w:tc>
          <w:tcPr>
            <w:tcW w:w="851" w:type="dxa"/>
            <w:shd w:val="clear" w:color="auto" w:fill="auto"/>
          </w:tcPr>
          <w:p w14:paraId="50D55F00" w14:textId="77777777" w:rsidR="002F663C" w:rsidRPr="00711F9C" w:rsidRDefault="009D1FF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4AA507A" w14:textId="77777777" w:rsidR="002F663C" w:rsidRPr="002F663C" w:rsidRDefault="009D1FF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132C34" w14:paraId="0379CB58" w14:textId="77777777" w:rsidTr="00E9471B">
        <w:tc>
          <w:tcPr>
            <w:tcW w:w="851" w:type="dxa"/>
            <w:tcBorders>
              <w:bottom w:val="double" w:sz="4" w:space="0" w:color="auto"/>
            </w:tcBorders>
            <w:shd w:val="clear" w:color="auto" w:fill="auto"/>
          </w:tcPr>
          <w:p w14:paraId="4A28ECB9" w14:textId="77777777" w:rsidR="002F663C" w:rsidRPr="00711F9C" w:rsidRDefault="009D1FF8"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1F0E5258" w14:textId="77777777" w:rsidR="002F663C" w:rsidRPr="002F663C" w:rsidRDefault="009D1FF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727AAC7B" w14:textId="77777777" w:rsidR="002F663C" w:rsidRPr="002F663C" w:rsidRDefault="002F663C" w:rsidP="002F663C">
      <w:pPr>
        <w:jc w:val="left"/>
        <w:rPr>
          <w:rFonts w:eastAsia="Calibri" w:cs="Times New Roman"/>
          <w:highlight w:val="yellow"/>
        </w:rPr>
      </w:pPr>
    </w:p>
    <w:p w14:paraId="6737EFC1" w14:textId="77777777" w:rsidR="003971FF" w:rsidRPr="007F6EA2" w:rsidRDefault="009D1FF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Food and Drug Administration (FDA, the Agency, or we) is issuing a final rule revising the requirements concerning current good manufacturing practice (CGMP), postmarketing safety reporting, and labeling that apply to certain medical gases. This final rule also establishes regulations regarding certification of designated medical gases. This final rule satisfies the medical gas rulemaking requirements of the Consolidated Appropriations Act, 2017.</w:t>
      </w:r>
    </w:p>
    <w:p w14:paraId="67F5AFBA" w14:textId="77777777" w:rsidR="005B645E" w:rsidRPr="002F663C" w:rsidRDefault="009D1FF8" w:rsidP="00B16ACF">
      <w:pPr>
        <w:spacing w:before="120" w:after="120"/>
        <w:rPr>
          <w:rFonts w:eastAsia="Calibri" w:cs="Times New Roman"/>
          <w:szCs w:val="18"/>
        </w:rPr>
      </w:pPr>
      <w:r w:rsidRPr="002F663C">
        <w:rPr>
          <w:rFonts w:eastAsia="Calibri" w:cs="Times New Roman"/>
          <w:szCs w:val="18"/>
        </w:rPr>
        <w:t xml:space="preserve">This rule is effective 18 December 2025, except for the amendments to Sec. Sec. 4.2 (amendatory instruction 2), 4.3 (amendatory instruction 3), and 4.4 (amendatory instruction 4) (21 CFR 4.2, 4.3, </w:t>
      </w:r>
      <w:r w:rsidRPr="002F663C">
        <w:rPr>
          <w:rFonts w:eastAsia="Calibri" w:cs="Times New Roman"/>
          <w:szCs w:val="18"/>
        </w:rPr>
        <w:lastRenderedPageBreak/>
        <w:t>and 4.4), which are effective 2 February 2026. The incorporation by reference of certain material listed in this rule has been approved by the Director of the Federal Register as of 2 February 2026.</w:t>
      </w:r>
    </w:p>
    <w:p w14:paraId="576372FF" w14:textId="77777777" w:rsidR="005B645E" w:rsidRPr="002F663C" w:rsidRDefault="009D1FF8" w:rsidP="00B16ACF">
      <w:pPr>
        <w:spacing w:before="120" w:after="120"/>
        <w:rPr>
          <w:rFonts w:eastAsia="Calibri" w:cs="Times New Roman"/>
          <w:szCs w:val="18"/>
        </w:rPr>
      </w:pPr>
      <w:r w:rsidRPr="002F663C">
        <w:rPr>
          <w:rFonts w:eastAsia="Calibri" w:cs="Times New Roman"/>
          <w:szCs w:val="18"/>
        </w:rPr>
        <w:t xml:space="preserve">89 Federal Register (FR) 51738, </w:t>
      </w:r>
      <w:hyperlink r:id="rId10" w:history="1">
        <w:r w:rsidRPr="002F663C">
          <w:rPr>
            <w:rFonts w:eastAsia="Calibri" w:cs="Times New Roman"/>
            <w:color w:val="0000FF"/>
            <w:szCs w:val="18"/>
            <w:u w:val="single"/>
          </w:rPr>
          <w:t>Title 21</w:t>
        </w:r>
      </w:hyperlink>
      <w:r w:rsidRPr="002F663C">
        <w:rPr>
          <w:rFonts w:eastAsia="Calibri" w:cs="Times New Roman"/>
          <w:szCs w:val="18"/>
        </w:rPr>
        <w:t xml:space="preserve"> Code of Federal Regulations (CFR) Parts </w:t>
      </w:r>
      <w:hyperlink r:id="rId11" w:history="1">
        <w:r w:rsidRPr="002F663C">
          <w:rPr>
            <w:rFonts w:eastAsia="Calibri" w:cs="Times New Roman"/>
            <w:color w:val="0000FF"/>
            <w:szCs w:val="18"/>
            <w:u w:val="single"/>
          </w:rPr>
          <w:t>4</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16</w:t>
        </w:r>
      </w:hyperlink>
      <w:r w:rsidRPr="002F663C">
        <w:rPr>
          <w:rFonts w:eastAsia="Calibri" w:cs="Times New Roman"/>
          <w:szCs w:val="18"/>
        </w:rPr>
        <w:t xml:space="preserve">, </w:t>
      </w:r>
      <w:hyperlink r:id="rId13" w:history="1">
        <w:r w:rsidRPr="002F663C">
          <w:rPr>
            <w:rFonts w:eastAsia="Calibri" w:cs="Times New Roman"/>
            <w:color w:val="0000FF"/>
            <w:szCs w:val="18"/>
            <w:u w:val="single"/>
          </w:rPr>
          <w:t>201</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210</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211</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213</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230</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314</w:t>
        </w:r>
      </w:hyperlink>
      <w:r w:rsidRPr="002F663C">
        <w:rPr>
          <w:rFonts w:eastAsia="Calibri" w:cs="Times New Roman"/>
          <w:szCs w:val="18"/>
        </w:rPr>
        <w:t xml:space="preserve">, and </w:t>
      </w:r>
      <w:hyperlink r:id="rId19" w:history="1">
        <w:r w:rsidRPr="002F663C">
          <w:rPr>
            <w:rFonts w:eastAsia="Calibri" w:cs="Times New Roman"/>
            <w:color w:val="0000FF"/>
            <w:szCs w:val="18"/>
            <w:u w:val="single"/>
          </w:rPr>
          <w:t>514</w:t>
        </w:r>
      </w:hyperlink>
      <w:r w:rsidRPr="002F663C">
        <w:rPr>
          <w:rFonts w:eastAsia="Calibri" w:cs="Times New Roman"/>
          <w:szCs w:val="18"/>
        </w:rPr>
        <w:t>:</w:t>
      </w:r>
    </w:p>
    <w:p w14:paraId="1D3F8737" w14:textId="77777777" w:rsidR="005B645E" w:rsidRPr="002F663C" w:rsidRDefault="009C3FAA" w:rsidP="00B16ACF">
      <w:pPr>
        <w:spacing w:before="120" w:after="120"/>
        <w:rPr>
          <w:rFonts w:eastAsia="Calibri" w:cs="Times New Roman"/>
          <w:szCs w:val="18"/>
        </w:rPr>
      </w:pPr>
      <w:hyperlink r:id="rId20" w:history="1">
        <w:r w:rsidR="009D1FF8" w:rsidRPr="002F663C">
          <w:rPr>
            <w:rFonts w:eastAsia="Calibri" w:cs="Times New Roman"/>
            <w:color w:val="0000FF"/>
            <w:szCs w:val="18"/>
            <w:u w:val="single"/>
          </w:rPr>
          <w:t>https://www.govinfo.gov/content/pkg/FR-2024-06-18/html/2024-13190.htm</w:t>
        </w:r>
      </w:hyperlink>
    </w:p>
    <w:p w14:paraId="29331602" w14:textId="77777777" w:rsidR="005B645E" w:rsidRPr="002F663C" w:rsidRDefault="009C3FAA" w:rsidP="00B16ACF">
      <w:pPr>
        <w:spacing w:before="120" w:after="120"/>
        <w:rPr>
          <w:rFonts w:eastAsia="Calibri" w:cs="Times New Roman"/>
          <w:szCs w:val="18"/>
        </w:rPr>
      </w:pPr>
      <w:hyperlink r:id="rId21" w:history="1">
        <w:r w:rsidR="009D1FF8" w:rsidRPr="002F663C">
          <w:rPr>
            <w:rFonts w:eastAsia="Calibri" w:cs="Times New Roman"/>
            <w:color w:val="0000FF"/>
            <w:szCs w:val="18"/>
            <w:u w:val="single"/>
          </w:rPr>
          <w:t>https://www.govinfo.gov/content/pkg/FR-2024-06-18/pdf/2024-13190.pdf</w:t>
        </w:r>
      </w:hyperlink>
    </w:p>
    <w:p w14:paraId="27E01A14" w14:textId="77777777" w:rsidR="005B645E" w:rsidRPr="002F663C" w:rsidRDefault="009D1FF8"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22" w:history="1">
        <w:r w:rsidRPr="002F663C">
          <w:rPr>
            <w:rFonts w:eastAsia="Calibri" w:cs="Times New Roman"/>
            <w:color w:val="0000FF"/>
            <w:szCs w:val="18"/>
            <w:u w:val="single"/>
          </w:rPr>
          <w:t>G/TBT/N/USA/1870</w:t>
        </w:r>
      </w:hyperlink>
      <w:r w:rsidRPr="002F663C">
        <w:rPr>
          <w:rFonts w:eastAsia="Calibri" w:cs="Times New Roman"/>
          <w:szCs w:val="18"/>
        </w:rPr>
        <w:t xml:space="preserve"> are identified by Docket Number FDA-2021-N-1333. The Docket Folder is available on Regulations.gov at </w:t>
      </w:r>
      <w:hyperlink r:id="rId23" w:history="1">
        <w:r w:rsidRPr="002F663C">
          <w:rPr>
            <w:rFonts w:eastAsia="Calibri" w:cs="Times New Roman"/>
            <w:color w:val="0000FF"/>
            <w:szCs w:val="18"/>
            <w:u w:val="single"/>
          </w:rPr>
          <w:t>https://www.regulations.gov/docket/FDA-2021-N-1333/document</w:t>
        </w:r>
      </w:hyperlink>
      <w:r w:rsidRPr="002F663C">
        <w:rPr>
          <w:rFonts w:eastAsia="Calibri" w:cs="Times New Roman"/>
          <w:szCs w:val="18"/>
        </w:rPr>
        <w:t xml:space="preserve"> and provides access to primary and supporting documents as well as comments received. Documents are also accessible from </w:t>
      </w:r>
      <w:hyperlink r:id="rId2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5B553274" w14:textId="77777777" w:rsidR="006C5A96" w:rsidRDefault="009D1FF8" w:rsidP="006C5A96">
      <w:pPr>
        <w:jc w:val="center"/>
        <w:rPr>
          <w:b/>
        </w:rPr>
      </w:pPr>
      <w:r w:rsidRPr="003971FF">
        <w:rPr>
          <w:b/>
        </w:rPr>
        <w:t>__________</w:t>
      </w:r>
    </w:p>
    <w:p w14:paraId="6E7D6707" w14:textId="77777777" w:rsidR="004D4D19" w:rsidRDefault="004D4D19" w:rsidP="007F38C2">
      <w:pPr>
        <w:jc w:val="center"/>
        <w:rPr>
          <w:b/>
        </w:rPr>
      </w:pPr>
    </w:p>
    <w:p w14:paraId="5BE65E0B" w14:textId="77777777" w:rsidR="00A1565D" w:rsidRDefault="00A1565D" w:rsidP="003971FF">
      <w:pPr>
        <w:jc w:val="center"/>
        <w:rPr>
          <w:b/>
        </w:rPr>
      </w:pPr>
    </w:p>
    <w:sectPr w:rsidR="00A1565D" w:rsidSect="006C5A9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DECF" w14:textId="77777777" w:rsidR="009D1FF8" w:rsidRDefault="009D1FF8">
      <w:r>
        <w:separator/>
      </w:r>
    </w:p>
  </w:endnote>
  <w:endnote w:type="continuationSeparator" w:id="0">
    <w:p w14:paraId="53952E42" w14:textId="77777777" w:rsidR="009D1FF8" w:rsidRDefault="009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E62F" w14:textId="77777777" w:rsidR="00544326" w:rsidRPr="00DD3DD7" w:rsidRDefault="009D1FF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D471" w14:textId="77777777" w:rsidR="00544326" w:rsidRPr="00DD3DD7" w:rsidRDefault="009D1FF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EE88" w14:textId="77777777" w:rsidR="009C3FAA" w:rsidRDefault="009C3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B457" w14:textId="77777777" w:rsidR="004D3A6A" w:rsidRDefault="009D1FF8" w:rsidP="00ED54E0">
      <w:r>
        <w:separator/>
      </w:r>
    </w:p>
  </w:footnote>
  <w:footnote w:type="continuationSeparator" w:id="0">
    <w:p w14:paraId="3F895B24" w14:textId="77777777" w:rsidR="004D3A6A" w:rsidRDefault="009D1FF8" w:rsidP="00ED54E0">
      <w:r>
        <w:continuationSeparator/>
      </w:r>
    </w:p>
  </w:footnote>
  <w:footnote w:id="1">
    <w:p w14:paraId="75ECE502" w14:textId="77777777" w:rsidR="007F6EA2" w:rsidRDefault="009D1FF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3439" w14:textId="77777777" w:rsidR="00DD3DD7" w:rsidRDefault="009D1FF8"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631580F" w14:textId="77777777" w:rsidR="004D4D19" w:rsidRPr="00DD3DD7" w:rsidRDefault="004D4D19" w:rsidP="00DD3DD7">
    <w:pPr>
      <w:pStyle w:val="Header"/>
      <w:pBdr>
        <w:bottom w:val="single" w:sz="4" w:space="1" w:color="auto"/>
      </w:pBdr>
      <w:tabs>
        <w:tab w:val="clear" w:pos="4513"/>
        <w:tab w:val="clear" w:pos="9027"/>
      </w:tabs>
      <w:jc w:val="center"/>
    </w:pPr>
  </w:p>
  <w:p w14:paraId="1E0BF9C3" w14:textId="77777777" w:rsidR="00DD3DD7" w:rsidRPr="00DD3DD7" w:rsidRDefault="009D1FF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C797E2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0261" w14:textId="77777777" w:rsidR="00DD3DD7" w:rsidRPr="009D1FF8" w:rsidRDefault="009D1FF8" w:rsidP="00DD3DD7">
    <w:pPr>
      <w:pStyle w:val="Header"/>
      <w:pBdr>
        <w:bottom w:val="single" w:sz="4" w:space="1" w:color="auto"/>
      </w:pBdr>
      <w:tabs>
        <w:tab w:val="clear" w:pos="4513"/>
        <w:tab w:val="clear" w:pos="9027"/>
      </w:tabs>
      <w:jc w:val="center"/>
      <w:rPr>
        <w:lang w:val="es-ES"/>
      </w:rPr>
    </w:pPr>
    <w:bookmarkStart w:id="3" w:name="spsSymbolHeader"/>
    <w:r w:rsidRPr="009D1FF8">
      <w:rPr>
        <w:lang w:val="es-ES"/>
      </w:rPr>
      <w:t>G/TBT/N/USA/1870/Add.1</w:t>
    </w:r>
    <w:bookmarkEnd w:id="3"/>
  </w:p>
  <w:p w14:paraId="201B0866" w14:textId="77777777" w:rsidR="00DD3DD7" w:rsidRPr="009D1FF8" w:rsidRDefault="00DD3DD7" w:rsidP="00DD3DD7">
    <w:pPr>
      <w:pStyle w:val="Header"/>
      <w:pBdr>
        <w:bottom w:val="single" w:sz="4" w:space="1" w:color="auto"/>
      </w:pBdr>
      <w:tabs>
        <w:tab w:val="clear" w:pos="4513"/>
        <w:tab w:val="clear" w:pos="9027"/>
      </w:tabs>
      <w:jc w:val="center"/>
      <w:rPr>
        <w:lang w:val="es-ES"/>
      </w:rPr>
    </w:pPr>
  </w:p>
  <w:p w14:paraId="481DFDA2" w14:textId="77777777" w:rsidR="00DD3DD7" w:rsidRPr="00DD3DD7" w:rsidRDefault="009D1FF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197FBC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2C34" w14:paraId="59468140" w14:textId="77777777" w:rsidTr="00544326">
      <w:trPr>
        <w:trHeight w:val="240"/>
        <w:jc w:val="center"/>
      </w:trPr>
      <w:tc>
        <w:tcPr>
          <w:tcW w:w="3794" w:type="dxa"/>
          <w:shd w:val="clear" w:color="auto" w:fill="FFFFFF"/>
          <w:tcMar>
            <w:left w:w="108" w:type="dxa"/>
            <w:right w:w="108" w:type="dxa"/>
          </w:tcMar>
          <w:vAlign w:val="center"/>
        </w:tcPr>
        <w:p w14:paraId="46B97E0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523CB99" w14:textId="77777777" w:rsidR="00ED54E0" w:rsidRPr="00182B84" w:rsidRDefault="009D1FF8" w:rsidP="00425DC5">
          <w:pPr>
            <w:jc w:val="right"/>
            <w:rPr>
              <w:b/>
              <w:color w:val="FF0000"/>
              <w:szCs w:val="16"/>
            </w:rPr>
          </w:pPr>
          <w:r>
            <w:rPr>
              <w:b/>
              <w:color w:val="FF0000"/>
              <w:szCs w:val="16"/>
            </w:rPr>
            <w:t xml:space="preserve"> </w:t>
          </w:r>
        </w:p>
      </w:tc>
    </w:tr>
    <w:tr w:rsidR="00132C34" w14:paraId="25049DB9" w14:textId="77777777" w:rsidTr="00544326">
      <w:trPr>
        <w:trHeight w:val="213"/>
        <w:jc w:val="center"/>
      </w:trPr>
      <w:tc>
        <w:tcPr>
          <w:tcW w:w="3794" w:type="dxa"/>
          <w:vMerge w:val="restart"/>
          <w:shd w:val="clear" w:color="auto" w:fill="FFFFFF"/>
          <w:tcMar>
            <w:left w:w="0" w:type="dxa"/>
            <w:right w:w="0" w:type="dxa"/>
          </w:tcMar>
        </w:tcPr>
        <w:p w14:paraId="00D957D5" w14:textId="77777777" w:rsidR="00ED54E0" w:rsidRPr="00182B84" w:rsidRDefault="009D1FF8" w:rsidP="00425DC5">
          <w:pPr>
            <w:jc w:val="left"/>
          </w:pPr>
          <w:r w:rsidRPr="00182B84">
            <w:rPr>
              <w:noProof/>
              <w:lang w:val="en-US"/>
            </w:rPr>
            <w:drawing>
              <wp:inline distT="0" distB="0" distL="0" distR="0" wp14:anchorId="1FD04582" wp14:editId="140744F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1320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0B4937" w14:textId="77777777" w:rsidR="00ED54E0" w:rsidRPr="00182B84" w:rsidRDefault="00ED54E0" w:rsidP="00425DC5">
          <w:pPr>
            <w:jc w:val="right"/>
            <w:rPr>
              <w:b/>
              <w:szCs w:val="16"/>
            </w:rPr>
          </w:pPr>
        </w:p>
      </w:tc>
    </w:tr>
    <w:tr w:rsidR="00132C34" w:rsidRPr="009C3FAA" w14:paraId="713E73A1" w14:textId="77777777" w:rsidTr="00544326">
      <w:trPr>
        <w:trHeight w:val="868"/>
        <w:jc w:val="center"/>
      </w:trPr>
      <w:tc>
        <w:tcPr>
          <w:tcW w:w="3794" w:type="dxa"/>
          <w:vMerge/>
          <w:shd w:val="clear" w:color="auto" w:fill="FFFFFF"/>
          <w:tcMar>
            <w:left w:w="108" w:type="dxa"/>
            <w:right w:w="108" w:type="dxa"/>
          </w:tcMar>
        </w:tcPr>
        <w:p w14:paraId="3D237FE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5EEEA99" w14:textId="77777777" w:rsidR="00DD3DD7" w:rsidRPr="009D1FF8" w:rsidRDefault="009D1FF8" w:rsidP="00DD3DD7">
          <w:pPr>
            <w:jc w:val="right"/>
            <w:rPr>
              <w:rFonts w:eastAsia="Calibri" w:cs="Times New Roman"/>
              <w:b/>
              <w:szCs w:val="16"/>
              <w:lang w:val="es-ES"/>
            </w:rPr>
          </w:pPr>
          <w:bookmarkStart w:id="4" w:name="bmkSymbols"/>
          <w:r w:rsidRPr="009D1FF8">
            <w:rPr>
              <w:rFonts w:eastAsia="Calibri" w:cs="Times New Roman"/>
              <w:b/>
              <w:szCs w:val="16"/>
              <w:lang w:val="es-ES"/>
            </w:rPr>
            <w:t>G/TBT/N/USA/1870/Add.1</w:t>
          </w:r>
          <w:bookmarkEnd w:id="4"/>
        </w:p>
        <w:p w14:paraId="09AA9C65" w14:textId="77777777" w:rsidR="00C14444" w:rsidRPr="009D1FF8" w:rsidRDefault="00C14444" w:rsidP="00C14444">
          <w:pPr>
            <w:jc w:val="center"/>
            <w:rPr>
              <w:szCs w:val="16"/>
              <w:lang w:val="es-ES"/>
            </w:rPr>
          </w:pPr>
        </w:p>
      </w:tc>
    </w:tr>
    <w:tr w:rsidR="00132C34" w:rsidRPr="009D1FF8" w14:paraId="2FB3971B" w14:textId="77777777" w:rsidTr="00544326">
      <w:trPr>
        <w:trHeight w:val="240"/>
        <w:jc w:val="center"/>
      </w:trPr>
      <w:tc>
        <w:tcPr>
          <w:tcW w:w="3794" w:type="dxa"/>
          <w:vMerge/>
          <w:shd w:val="clear" w:color="auto" w:fill="FFFFFF"/>
          <w:tcMar>
            <w:left w:w="108" w:type="dxa"/>
            <w:right w:w="108" w:type="dxa"/>
          </w:tcMar>
          <w:vAlign w:val="center"/>
        </w:tcPr>
        <w:p w14:paraId="03E6D663" w14:textId="77777777" w:rsidR="00ED54E0" w:rsidRPr="009D1FF8" w:rsidRDefault="00ED54E0" w:rsidP="00425DC5">
          <w:pPr>
            <w:rPr>
              <w:lang w:val="es-ES"/>
            </w:rPr>
          </w:pPr>
        </w:p>
      </w:tc>
      <w:tc>
        <w:tcPr>
          <w:tcW w:w="5448" w:type="dxa"/>
          <w:gridSpan w:val="2"/>
          <w:shd w:val="clear" w:color="auto" w:fill="FFFFFF"/>
          <w:tcMar>
            <w:left w:w="108" w:type="dxa"/>
            <w:right w:w="108" w:type="dxa"/>
          </w:tcMar>
          <w:vAlign w:val="center"/>
        </w:tcPr>
        <w:p w14:paraId="49BB40D9" w14:textId="6AD9AFED" w:rsidR="00ED54E0" w:rsidRPr="009D1FF8" w:rsidRDefault="009D1FF8" w:rsidP="00425DC5">
          <w:pPr>
            <w:jc w:val="right"/>
            <w:rPr>
              <w:szCs w:val="16"/>
              <w:lang w:val="es-ES"/>
            </w:rPr>
          </w:pPr>
          <w:bookmarkStart w:id="5" w:name="bmkDate"/>
          <w:bookmarkEnd w:id="5"/>
          <w:r>
            <w:rPr>
              <w:szCs w:val="16"/>
              <w:lang w:val="es-ES"/>
            </w:rPr>
            <w:t>21 June 2024</w:t>
          </w:r>
        </w:p>
      </w:tc>
    </w:tr>
    <w:tr w:rsidR="00132C34" w14:paraId="234E107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B8AB39" w14:textId="05FD0B47" w:rsidR="00ED54E0" w:rsidRPr="00182B84" w:rsidRDefault="009D1FF8"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9C3FAA">
            <w:rPr>
              <w:rFonts w:eastAsia="Calibri" w:cs="Times New Roman"/>
              <w:color w:val="FF0000"/>
              <w:szCs w:val="16"/>
            </w:rPr>
            <w:t>4639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8D56F7" w14:textId="77777777" w:rsidR="00ED54E0" w:rsidRPr="00182B84" w:rsidRDefault="009D1FF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32C34" w14:paraId="3575777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DB14DB" w14:textId="77777777" w:rsidR="00ED54E0" w:rsidRPr="00182B84" w:rsidRDefault="009D1FF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3BBC4B0" w14:textId="77777777" w:rsidR="00ED54E0" w:rsidRPr="00182B84" w:rsidRDefault="009D1FF8"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76740C4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6D0D0E0">
      <w:start w:val="1"/>
      <w:numFmt w:val="decimal"/>
      <w:pStyle w:val="SummaryText"/>
      <w:lvlText w:val="%1."/>
      <w:lvlJc w:val="left"/>
      <w:pPr>
        <w:ind w:left="360" w:hanging="360"/>
      </w:pPr>
    </w:lvl>
    <w:lvl w:ilvl="1" w:tplc="DBF4B1A4" w:tentative="1">
      <w:start w:val="1"/>
      <w:numFmt w:val="lowerLetter"/>
      <w:lvlText w:val="%2."/>
      <w:lvlJc w:val="left"/>
      <w:pPr>
        <w:ind w:left="1080" w:hanging="360"/>
      </w:pPr>
    </w:lvl>
    <w:lvl w:ilvl="2" w:tplc="6A8603EC" w:tentative="1">
      <w:start w:val="1"/>
      <w:numFmt w:val="lowerRoman"/>
      <w:lvlText w:val="%3."/>
      <w:lvlJc w:val="right"/>
      <w:pPr>
        <w:ind w:left="1800" w:hanging="180"/>
      </w:pPr>
    </w:lvl>
    <w:lvl w:ilvl="3" w:tplc="F6D4C89C" w:tentative="1">
      <w:start w:val="1"/>
      <w:numFmt w:val="decimal"/>
      <w:lvlText w:val="%4."/>
      <w:lvlJc w:val="left"/>
      <w:pPr>
        <w:ind w:left="2520" w:hanging="360"/>
      </w:pPr>
    </w:lvl>
    <w:lvl w:ilvl="4" w:tplc="9306F69E" w:tentative="1">
      <w:start w:val="1"/>
      <w:numFmt w:val="lowerLetter"/>
      <w:lvlText w:val="%5."/>
      <w:lvlJc w:val="left"/>
      <w:pPr>
        <w:ind w:left="3240" w:hanging="360"/>
      </w:pPr>
    </w:lvl>
    <w:lvl w:ilvl="5" w:tplc="D21621BE" w:tentative="1">
      <w:start w:val="1"/>
      <w:numFmt w:val="lowerRoman"/>
      <w:lvlText w:val="%6."/>
      <w:lvlJc w:val="right"/>
      <w:pPr>
        <w:ind w:left="3960" w:hanging="180"/>
      </w:pPr>
    </w:lvl>
    <w:lvl w:ilvl="6" w:tplc="CDF6DA54" w:tentative="1">
      <w:start w:val="1"/>
      <w:numFmt w:val="decimal"/>
      <w:lvlText w:val="%7."/>
      <w:lvlJc w:val="left"/>
      <w:pPr>
        <w:ind w:left="4680" w:hanging="360"/>
      </w:pPr>
    </w:lvl>
    <w:lvl w:ilvl="7" w:tplc="6DE6871C" w:tentative="1">
      <w:start w:val="1"/>
      <w:numFmt w:val="lowerLetter"/>
      <w:lvlText w:val="%8."/>
      <w:lvlJc w:val="left"/>
      <w:pPr>
        <w:ind w:left="5400" w:hanging="360"/>
      </w:pPr>
    </w:lvl>
    <w:lvl w:ilvl="8" w:tplc="A9D4CD5E" w:tentative="1">
      <w:start w:val="1"/>
      <w:numFmt w:val="lowerRoman"/>
      <w:lvlText w:val="%9."/>
      <w:lvlJc w:val="right"/>
      <w:pPr>
        <w:ind w:left="6120" w:hanging="180"/>
      </w:pPr>
    </w:lvl>
  </w:abstractNum>
  <w:num w:numId="1" w16cid:durableId="2123377159">
    <w:abstractNumId w:val="9"/>
  </w:num>
  <w:num w:numId="2" w16cid:durableId="440027004">
    <w:abstractNumId w:val="7"/>
  </w:num>
  <w:num w:numId="3" w16cid:durableId="2112165263">
    <w:abstractNumId w:val="6"/>
  </w:num>
  <w:num w:numId="4" w16cid:durableId="247932062">
    <w:abstractNumId w:val="5"/>
  </w:num>
  <w:num w:numId="5" w16cid:durableId="275716673">
    <w:abstractNumId w:val="4"/>
  </w:num>
  <w:num w:numId="6" w16cid:durableId="714236623">
    <w:abstractNumId w:val="12"/>
  </w:num>
  <w:num w:numId="7" w16cid:durableId="1465000455">
    <w:abstractNumId w:val="11"/>
  </w:num>
  <w:num w:numId="8" w16cid:durableId="1470051292">
    <w:abstractNumId w:val="10"/>
  </w:num>
  <w:num w:numId="9" w16cid:durableId="683869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16378">
    <w:abstractNumId w:val="13"/>
  </w:num>
  <w:num w:numId="11" w16cid:durableId="117140498">
    <w:abstractNumId w:val="8"/>
  </w:num>
  <w:num w:numId="12" w16cid:durableId="1246262430">
    <w:abstractNumId w:val="3"/>
  </w:num>
  <w:num w:numId="13" w16cid:durableId="753475067">
    <w:abstractNumId w:val="2"/>
  </w:num>
  <w:num w:numId="14" w16cid:durableId="1388841711">
    <w:abstractNumId w:val="1"/>
  </w:num>
  <w:num w:numId="15" w16cid:durableId="79570798">
    <w:abstractNumId w:val="0"/>
  </w:num>
  <w:num w:numId="16" w16cid:durableId="84293679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2C34"/>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45E"/>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C3FAA"/>
    <w:rsid w:val="009D1FF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44167"/>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E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21/chapter-I/subchapter-C/part-201" TargetMode="External"/><Relationship Id="rId18" Type="http://schemas.openxmlformats.org/officeDocument/2006/relationships/hyperlink" Target="https://www.ecfr.gov/current/title-21/chapter-I/subchapter-D/part-314"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govinfo.gov/content/pkg/FR-2024-06-18/pdf/2024-13190.pdf" TargetMode="External"/><Relationship Id="rId7" Type="http://schemas.openxmlformats.org/officeDocument/2006/relationships/footnotes" Target="footnotes.xml"/><Relationship Id="rId12" Type="http://schemas.openxmlformats.org/officeDocument/2006/relationships/hyperlink" Target="https://www.ecfr.gov/current/title-21/chapter-I/subchapter-A/part-16" TargetMode="External"/><Relationship Id="rId17" Type="http://schemas.openxmlformats.org/officeDocument/2006/relationships/hyperlink" Target="https://www.ecfr.gov/current/title-21/chapter-I/subchapter-C/part-23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21/chapter-I/subchapter-C/part-213" TargetMode="External"/><Relationship Id="rId20" Type="http://schemas.openxmlformats.org/officeDocument/2006/relationships/hyperlink" Target="https://www.govinfo.gov/content/pkg/FR-2024-06-18/html/2024-13190.ht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21/chapter-I/subchapter-A/part-4" TargetMode="External"/><Relationship Id="rId24" Type="http://schemas.openxmlformats.org/officeDocument/2006/relationships/hyperlink" Target="http://www.regulations.go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cfr.gov/current/title-21/chapter-I/subchapter-C/part-211" TargetMode="External"/><Relationship Id="rId23" Type="http://schemas.openxmlformats.org/officeDocument/2006/relationships/hyperlink" Target="https://www.regulations.gov/docket/FDA-2021-N-1333/document" TargetMode="External"/><Relationship Id="rId28" Type="http://schemas.openxmlformats.org/officeDocument/2006/relationships/footer" Target="footer2.xml"/><Relationship Id="rId10" Type="http://schemas.openxmlformats.org/officeDocument/2006/relationships/hyperlink" Target="https://www.ecfr.gov/current/title-21" TargetMode="External"/><Relationship Id="rId19" Type="http://schemas.openxmlformats.org/officeDocument/2006/relationships/hyperlink" Target="https://www.ecfr.gov/current/title-21/chapter-I/subchapter-E/part-514"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mbers.wto.org/crnattachments/2024/TBT/USA/final_measure/24_03898_00_e.pdf" TargetMode="External"/><Relationship Id="rId14" Type="http://schemas.openxmlformats.org/officeDocument/2006/relationships/hyperlink" Target="https://www.ecfr.gov/current/title-21/chapter-I/subchapter-C/part-210" TargetMode="External"/><Relationship Id="rId22" Type="http://schemas.openxmlformats.org/officeDocument/2006/relationships/hyperlink" Target="https://eping.wto.org/en/Search?domainIds=1&amp;documentSymbol=usa%2F1870"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0A2E-ED2D-42EE-8796-ADF2D6926A2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2024-06-21T11:20:00Z</dcterms:created>
  <dcterms:modified xsi:type="dcterms:W3CDTF">2024-06-21T12:15:00Z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