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CAA3" w14:textId="77777777" w:rsidR="009239F7" w:rsidRPr="002F6A28" w:rsidRDefault="007A4583" w:rsidP="002F6A28">
      <w:pPr>
        <w:pStyle w:val="Title"/>
        <w:rPr>
          <w:caps w:val="0"/>
          <w:kern w:val="0"/>
        </w:rPr>
      </w:pPr>
      <w:r w:rsidRPr="002F6A28">
        <w:rPr>
          <w:caps w:val="0"/>
          <w:kern w:val="0"/>
        </w:rPr>
        <w:t>NOTIFICATION</w:t>
      </w:r>
    </w:p>
    <w:p w14:paraId="3D5C9892" w14:textId="77777777" w:rsidR="009239F7" w:rsidRPr="002F6A28" w:rsidRDefault="007A4583" w:rsidP="002F6A28">
      <w:pPr>
        <w:jc w:val="center"/>
      </w:pPr>
      <w:r w:rsidRPr="002F6A28">
        <w:t>The following notification is being circulated in accordance with Article 10.6</w:t>
      </w:r>
    </w:p>
    <w:p w14:paraId="2455EC3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F4256" w14:paraId="75ED3F8C" w14:textId="77777777" w:rsidTr="0069259F">
        <w:tc>
          <w:tcPr>
            <w:tcW w:w="713" w:type="dxa"/>
            <w:tcBorders>
              <w:bottom w:val="single" w:sz="6" w:space="0" w:color="auto"/>
            </w:tcBorders>
            <w:shd w:val="clear" w:color="auto" w:fill="auto"/>
          </w:tcPr>
          <w:p w14:paraId="0F539EEC" w14:textId="77777777" w:rsidR="00F85C99" w:rsidRPr="002F6A28" w:rsidRDefault="007A4583" w:rsidP="002F6A28">
            <w:pPr>
              <w:spacing w:before="120" w:after="120"/>
              <w:jc w:val="left"/>
            </w:pPr>
            <w:r w:rsidRPr="002F6A28">
              <w:rPr>
                <w:b/>
              </w:rPr>
              <w:t>1.</w:t>
            </w:r>
          </w:p>
        </w:tc>
        <w:tc>
          <w:tcPr>
            <w:tcW w:w="8546" w:type="dxa"/>
            <w:tcBorders>
              <w:bottom w:val="single" w:sz="6" w:space="0" w:color="auto"/>
            </w:tcBorders>
            <w:shd w:val="clear" w:color="auto" w:fill="auto"/>
          </w:tcPr>
          <w:p w14:paraId="16048C45" w14:textId="77777777" w:rsidR="00F85C99" w:rsidRPr="002F6A28" w:rsidRDefault="007A4583" w:rsidP="00C805B6">
            <w:pPr>
              <w:spacing w:before="120" w:after="120"/>
            </w:pPr>
            <w:r w:rsidRPr="002F6A28">
              <w:rPr>
                <w:b/>
              </w:rPr>
              <w:t>Notifying Member:</w:t>
            </w:r>
            <w:r w:rsidR="00EE3A11" w:rsidRPr="00C92678">
              <w:t xml:space="preserve"> </w:t>
            </w:r>
            <w:r w:rsidR="00EE3A11" w:rsidRPr="00C92678">
              <w:rPr>
                <w:u w:val="single"/>
              </w:rPr>
              <w:t>EUROPEAN UNION</w:t>
            </w:r>
          </w:p>
          <w:p w14:paraId="4785DFF3" w14:textId="77777777" w:rsidR="00F85C99" w:rsidRPr="002F6A28" w:rsidRDefault="007A4583" w:rsidP="002F6A28">
            <w:pPr>
              <w:spacing w:after="120"/>
            </w:pPr>
            <w:r w:rsidRPr="002F6A28">
              <w:rPr>
                <w:b/>
              </w:rPr>
              <w:t>If applicable, name of local government involved (Article 3.2 and 7.2):</w:t>
            </w:r>
            <w:r w:rsidR="00EE3A11" w:rsidRPr="00C379C8">
              <w:t xml:space="preserve"> </w:t>
            </w:r>
          </w:p>
        </w:tc>
      </w:tr>
      <w:tr w:rsidR="000F4256" w14:paraId="4FA3670E" w14:textId="77777777" w:rsidTr="0069259F">
        <w:tc>
          <w:tcPr>
            <w:tcW w:w="713" w:type="dxa"/>
            <w:tcBorders>
              <w:top w:val="single" w:sz="6" w:space="0" w:color="auto"/>
              <w:bottom w:val="single" w:sz="6" w:space="0" w:color="auto"/>
            </w:tcBorders>
            <w:shd w:val="clear" w:color="auto" w:fill="auto"/>
          </w:tcPr>
          <w:p w14:paraId="29ABC8A2" w14:textId="77777777" w:rsidR="00F85C99" w:rsidRPr="002F6A28" w:rsidRDefault="007A458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E3CC28C" w14:textId="77777777" w:rsidR="00F85C99" w:rsidRPr="002F6A28" w:rsidRDefault="007A4583" w:rsidP="00155128">
            <w:pPr>
              <w:spacing w:before="120" w:after="120"/>
            </w:pPr>
            <w:r w:rsidRPr="002F6A28">
              <w:rPr>
                <w:b/>
              </w:rPr>
              <w:t>Agency responsible:</w:t>
            </w:r>
            <w:r w:rsidR="00EE3A11" w:rsidRPr="00C379C8">
              <w:t xml:space="preserve"> </w:t>
            </w:r>
          </w:p>
          <w:p w14:paraId="3C004A94" w14:textId="77777777" w:rsidR="00EE3A11" w:rsidRPr="00C379C8" w:rsidRDefault="007A4583" w:rsidP="00155128">
            <w:pPr>
              <w:spacing w:after="120"/>
            </w:pPr>
            <w:r w:rsidRPr="00C379C8">
              <w:t>European Commission</w:t>
            </w:r>
          </w:p>
          <w:p w14:paraId="7239E1CF" w14:textId="77777777" w:rsidR="00F85C99" w:rsidRPr="002F6A28" w:rsidRDefault="007A4583"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3198BE6E" w14:textId="77777777" w:rsidR="00AC6C6E" w:rsidRPr="00C379C8" w:rsidRDefault="007A4583" w:rsidP="00AA646C">
            <w:r w:rsidRPr="00C379C8">
              <w:t>European Commission,</w:t>
            </w:r>
          </w:p>
          <w:p w14:paraId="4BCE6218" w14:textId="77777777" w:rsidR="00AC6C6E" w:rsidRPr="00C379C8" w:rsidRDefault="007A4583" w:rsidP="00AA646C">
            <w:r w:rsidRPr="00C379C8">
              <w:t>EU-TBT Enquiry Point,</w:t>
            </w:r>
          </w:p>
          <w:p w14:paraId="47960E48" w14:textId="77777777" w:rsidR="00AC6C6E" w:rsidRPr="00C379C8" w:rsidRDefault="007A4583" w:rsidP="00AA646C">
            <w:r w:rsidRPr="00C379C8">
              <w:t>Fax: +(32) 2 299 80 43,</w:t>
            </w:r>
          </w:p>
          <w:p w14:paraId="62AEB8A5" w14:textId="77777777" w:rsidR="00AC6C6E" w:rsidRPr="00C379C8" w:rsidRDefault="007A4583" w:rsidP="00AA646C">
            <w:r w:rsidRPr="00C379C8">
              <w:t xml:space="preserve">E-mail: </w:t>
            </w:r>
            <w:hyperlink r:id="rId9" w:history="1">
              <w:r w:rsidRPr="00C379C8">
                <w:rPr>
                  <w:color w:val="0000FF"/>
                  <w:u w:val="single"/>
                </w:rPr>
                <w:t>grow-eu-tbt@ec.europa.eu</w:t>
              </w:r>
            </w:hyperlink>
          </w:p>
          <w:p w14:paraId="63EE7FA2" w14:textId="77777777" w:rsidR="00AC6C6E" w:rsidRPr="00C379C8" w:rsidRDefault="007A4583" w:rsidP="00AA646C">
            <w:pPr>
              <w:spacing w:after="120"/>
            </w:pPr>
            <w:r w:rsidRPr="00C379C8">
              <w:t xml:space="preserve">Website: </w:t>
            </w:r>
            <w:hyperlink r:id="rId10" w:tgtFrame="_blank" w:history="1">
              <w:r w:rsidRPr="00C379C8">
                <w:rPr>
                  <w:color w:val="0000FF"/>
                  <w:u w:val="single"/>
                </w:rPr>
                <w:t>http://ec.europa.eu/growth/tools-databases/tbt/en/</w:t>
              </w:r>
            </w:hyperlink>
          </w:p>
        </w:tc>
      </w:tr>
      <w:tr w:rsidR="000F4256" w14:paraId="1CD6B5C4" w14:textId="77777777" w:rsidTr="0069259F">
        <w:tc>
          <w:tcPr>
            <w:tcW w:w="713" w:type="dxa"/>
            <w:tcBorders>
              <w:top w:val="single" w:sz="6" w:space="0" w:color="auto"/>
              <w:bottom w:val="single" w:sz="6" w:space="0" w:color="auto"/>
            </w:tcBorders>
            <w:shd w:val="clear" w:color="auto" w:fill="auto"/>
          </w:tcPr>
          <w:p w14:paraId="4AB571EE" w14:textId="77777777" w:rsidR="00F85C99" w:rsidRPr="002F6A28" w:rsidRDefault="007A458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DE09C3E" w14:textId="77777777" w:rsidR="00F85C99" w:rsidRPr="0058336F" w:rsidRDefault="007A4583" w:rsidP="002F6A28">
            <w:pPr>
              <w:spacing w:before="120" w:after="120"/>
            </w:pPr>
            <w:r w:rsidRPr="002F6A28">
              <w:rPr>
                <w:b/>
              </w:rPr>
              <w:t>Notified under Article 2.9.2 [X], 2.10.1 [ ], 5.6.2 [X],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0F4256" w14:paraId="3EFBBD96" w14:textId="77777777" w:rsidTr="0069259F">
        <w:tc>
          <w:tcPr>
            <w:tcW w:w="713" w:type="dxa"/>
            <w:tcBorders>
              <w:top w:val="single" w:sz="6" w:space="0" w:color="auto"/>
              <w:bottom w:val="single" w:sz="6" w:space="0" w:color="auto"/>
            </w:tcBorders>
            <w:shd w:val="clear" w:color="auto" w:fill="auto"/>
          </w:tcPr>
          <w:p w14:paraId="7407DF5D" w14:textId="77777777" w:rsidR="00F85C99" w:rsidRPr="002F6A28" w:rsidRDefault="007A458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D10F7B5" w14:textId="77777777" w:rsidR="00F85C99" w:rsidRPr="002F6A28" w:rsidRDefault="007A4583"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w:t>
            </w:r>
            <w:r w:rsidR="00EE3A11" w:rsidRPr="00C379C8">
              <w:rPr>
                <w:i/>
                <w:iCs/>
              </w:rPr>
              <w:t>N,N</w:t>
            </w:r>
            <w:r w:rsidR="00EE3A11" w:rsidRPr="00C379C8">
              <w:t>-dimethylacetamide (DMAC) and 1-ethylpyrrolidin-2-one (NEP)</w:t>
            </w:r>
          </w:p>
        </w:tc>
      </w:tr>
      <w:tr w:rsidR="000F4256" w14:paraId="298284CB" w14:textId="77777777" w:rsidTr="0069259F">
        <w:tc>
          <w:tcPr>
            <w:tcW w:w="713" w:type="dxa"/>
            <w:tcBorders>
              <w:top w:val="single" w:sz="6" w:space="0" w:color="auto"/>
              <w:bottom w:val="single" w:sz="6" w:space="0" w:color="auto"/>
            </w:tcBorders>
            <w:shd w:val="clear" w:color="auto" w:fill="auto"/>
          </w:tcPr>
          <w:p w14:paraId="5AA4ED72" w14:textId="77777777" w:rsidR="00F85C99" w:rsidRPr="002F6A28" w:rsidRDefault="007A458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43612F9" w14:textId="77777777" w:rsidR="00F85C99" w:rsidRPr="002F6A28" w:rsidRDefault="007A4583" w:rsidP="002F6A28">
            <w:pPr>
              <w:spacing w:before="120" w:after="120"/>
            </w:pPr>
            <w:r w:rsidRPr="002F6A28">
              <w:rPr>
                <w:b/>
              </w:rPr>
              <w:t>Title, number of pages and language(s) of the notified document:</w:t>
            </w:r>
            <w:r w:rsidR="00EE3A11" w:rsidRPr="00C379C8">
              <w:t xml:space="preserve"> Draft Commission Regulation (EU) …/…of XXX amending Annex XVII to Regulation (EC) No 1907/2006 of the European Parliament and of the Council as regards </w:t>
            </w:r>
            <w:r w:rsidR="00EE3A11" w:rsidRPr="00C379C8">
              <w:rPr>
                <w:i/>
                <w:iCs/>
              </w:rPr>
              <w:t>N,N</w:t>
            </w:r>
            <w:r w:rsidR="00EE3A11" w:rsidRPr="00C379C8">
              <w:t>-dimethylacetamide (DMAC) and 1-ethylpyrrolidin-2-one (NEP); (5 page(s), in English), (3 page(s), in English)</w:t>
            </w:r>
          </w:p>
        </w:tc>
      </w:tr>
      <w:tr w:rsidR="000F4256" w14:paraId="522AFCAE" w14:textId="77777777" w:rsidTr="0069259F">
        <w:tc>
          <w:tcPr>
            <w:tcW w:w="713" w:type="dxa"/>
            <w:tcBorders>
              <w:top w:val="single" w:sz="6" w:space="0" w:color="auto"/>
              <w:bottom w:val="single" w:sz="6" w:space="0" w:color="auto"/>
            </w:tcBorders>
            <w:shd w:val="clear" w:color="auto" w:fill="auto"/>
          </w:tcPr>
          <w:p w14:paraId="0F2D2B47" w14:textId="77777777" w:rsidR="00F85C99" w:rsidRPr="002F6A28" w:rsidRDefault="007A458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2E1F9DD" w14:textId="77777777" w:rsidR="00F85C99" w:rsidRPr="002F6A28" w:rsidRDefault="007A4583" w:rsidP="002F6A28">
            <w:pPr>
              <w:spacing w:before="120" w:after="120"/>
              <w:rPr>
                <w:b/>
              </w:rPr>
            </w:pPr>
            <w:r w:rsidRPr="002F6A28">
              <w:rPr>
                <w:b/>
              </w:rPr>
              <w:t>Description of content:</w:t>
            </w:r>
            <w:r w:rsidR="00FE448B" w:rsidRPr="00C379C8">
              <w:t xml:space="preserve"> This draft Regulation relates to new entries of Annex XVII to REACH Regulation (EC) No 1907/2006.</w:t>
            </w:r>
          </w:p>
          <w:p w14:paraId="423B8088" w14:textId="77777777" w:rsidR="00FE448B" w:rsidRPr="00C379C8" w:rsidRDefault="007A4583" w:rsidP="002F6A28">
            <w:pPr>
              <w:spacing w:before="120" w:after="120"/>
            </w:pPr>
            <w:r w:rsidRPr="00C379C8">
              <w:t xml:space="preserve">The draft Commission Regulation proposes a restriction for placing </w:t>
            </w:r>
            <w:r w:rsidRPr="00C379C8">
              <w:rPr>
                <w:i/>
                <w:iCs/>
              </w:rPr>
              <w:t>N,N</w:t>
            </w:r>
            <w:r w:rsidRPr="00C379C8">
              <w:t>-dimethylacetamide (DMAC) and 1-ethylpyrrolidin-2-one (NEP) on the market in concentrations higher than 0.3%, unless the registration dossiers and the safety data sheet are updated with the new DNEL values, and manufacturers and downstream users ensure the protection of workers by keeping their exposure below those values.</w:t>
            </w:r>
          </w:p>
          <w:p w14:paraId="7FBEB4CC" w14:textId="77777777" w:rsidR="00FE448B" w:rsidRPr="00C379C8" w:rsidRDefault="007A4583" w:rsidP="002F6A28">
            <w:pPr>
              <w:spacing w:before="120" w:after="120"/>
            </w:pPr>
            <w:r w:rsidRPr="00C379C8">
              <w:t>Application of the restriction is deferred for 18 months for all industrial sectors and for 48 months for the man-made fibres sector, to give industry sufficient time to comply.</w:t>
            </w:r>
          </w:p>
        </w:tc>
      </w:tr>
      <w:tr w:rsidR="000F4256" w14:paraId="2F99E330" w14:textId="77777777" w:rsidTr="0069259F">
        <w:tc>
          <w:tcPr>
            <w:tcW w:w="713" w:type="dxa"/>
            <w:tcBorders>
              <w:top w:val="single" w:sz="6" w:space="0" w:color="auto"/>
              <w:bottom w:val="single" w:sz="6" w:space="0" w:color="auto"/>
            </w:tcBorders>
            <w:shd w:val="clear" w:color="auto" w:fill="auto"/>
          </w:tcPr>
          <w:p w14:paraId="562C81BE" w14:textId="77777777" w:rsidR="00F85C99" w:rsidRPr="002F6A28" w:rsidRDefault="007A4583"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47A2A66" w14:textId="77777777" w:rsidR="00F85C99" w:rsidRPr="002F6A28" w:rsidRDefault="007A4583" w:rsidP="002F6A28">
            <w:pPr>
              <w:spacing w:before="120" w:after="120"/>
              <w:rPr>
                <w:b/>
              </w:rPr>
            </w:pPr>
            <w:r w:rsidRPr="002F6A28">
              <w:rPr>
                <w:b/>
              </w:rPr>
              <w:t>Objective and rationale, including the nature of urgent problems where applicable:</w:t>
            </w:r>
            <w:r w:rsidR="00EE3A11" w:rsidRPr="00C379C8">
              <w:t xml:space="preserve"> The occupational exposure to </w:t>
            </w:r>
            <w:r w:rsidR="00EE3A11" w:rsidRPr="00C379C8">
              <w:rPr>
                <w:i/>
                <w:iCs/>
              </w:rPr>
              <w:t>DMAC</w:t>
            </w:r>
            <w:r w:rsidR="00EE3A11" w:rsidRPr="00C379C8">
              <w:t xml:space="preserve"> above the following Derived No-Effect Levels (DNEL), 13 mg/m3 for long-term exposure by inhalation and 1.8 mg/kg bw/day for long-term dermal exposure, poses a risk to the health of workers due to its reprotoxic properties.</w:t>
            </w:r>
          </w:p>
          <w:p w14:paraId="5DB92C65" w14:textId="77777777" w:rsidR="00EE3A11" w:rsidRPr="00C379C8" w:rsidRDefault="007A4583" w:rsidP="002F6A28">
            <w:pPr>
              <w:spacing w:before="120" w:after="120"/>
            </w:pPr>
            <w:r w:rsidRPr="00C379C8">
              <w:lastRenderedPageBreak/>
              <w:t xml:space="preserve">The occupational exposure to </w:t>
            </w:r>
            <w:r w:rsidRPr="00C379C8">
              <w:rPr>
                <w:i/>
                <w:iCs/>
              </w:rPr>
              <w:t>NEP</w:t>
            </w:r>
            <w:r w:rsidRPr="00C379C8">
              <w:t xml:space="preserve"> above the following Derived No-Effect Levels (DNEL), 4.0 mg/m3 for long-term exposure by inhalation and 2.4 mg/kg bw/day for long-term dermal exposure., poses a risk to the health of workers due to its reprotoxic properties.</w:t>
            </w:r>
          </w:p>
          <w:p w14:paraId="23E91861" w14:textId="77777777" w:rsidR="00EE3A11" w:rsidRPr="00C379C8" w:rsidRDefault="007A4583" w:rsidP="002F6A28">
            <w:pPr>
              <w:spacing w:before="120" w:after="120"/>
            </w:pPr>
            <w:r w:rsidRPr="00C379C8">
              <w:t>The aim of the restriction is to appropriately address the risks resulting from inhalation and dermal exposure to DMAC and NEP.</w:t>
            </w:r>
          </w:p>
          <w:p w14:paraId="4058F41D" w14:textId="77777777" w:rsidR="00EE3A11" w:rsidRPr="00C379C8" w:rsidRDefault="007A4583" w:rsidP="002F6A28">
            <w:pPr>
              <w:spacing w:before="120" w:after="120"/>
            </w:pPr>
            <w:r w:rsidRPr="00C379C8">
              <w:t>The transitional period (18 months) before the application of the proposed restriction will allow stakeholders sufficient time to comply with the proposed restriction. For DMAC in the Man-made Fibres sector a transitional period of 48 months is proposed; Protection of human health or safety</w:t>
            </w:r>
          </w:p>
        </w:tc>
      </w:tr>
      <w:tr w:rsidR="000F4256" w14:paraId="66C35208" w14:textId="77777777" w:rsidTr="0069259F">
        <w:tc>
          <w:tcPr>
            <w:tcW w:w="713" w:type="dxa"/>
            <w:tcBorders>
              <w:top w:val="single" w:sz="6" w:space="0" w:color="auto"/>
              <w:bottom w:val="single" w:sz="6" w:space="0" w:color="auto"/>
            </w:tcBorders>
            <w:shd w:val="clear" w:color="auto" w:fill="auto"/>
          </w:tcPr>
          <w:p w14:paraId="3DAD7C6F" w14:textId="77777777" w:rsidR="00F85C99" w:rsidRPr="002F6A28" w:rsidRDefault="007A4583"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438B798D" w14:textId="77777777" w:rsidR="00086AF5" w:rsidRPr="00086AF5" w:rsidRDefault="007A4583" w:rsidP="007F13E8">
            <w:pPr>
              <w:spacing w:before="120" w:after="120"/>
              <w:rPr>
                <w:bCs/>
              </w:rPr>
            </w:pPr>
            <w:r w:rsidRPr="002F6A28">
              <w:rPr>
                <w:b/>
              </w:rPr>
              <w:t>Relevant documents:</w:t>
            </w:r>
            <w:r w:rsidR="00EE3A11" w:rsidRPr="002F6A28">
              <w:t xml:space="preserve"> </w:t>
            </w:r>
          </w:p>
          <w:p w14:paraId="58C2FE26" w14:textId="77777777" w:rsidR="00EE3A11" w:rsidRPr="002F6A28" w:rsidRDefault="007A4583" w:rsidP="007F13E8">
            <w:pPr>
              <w:numPr>
                <w:ilvl w:val="0"/>
                <w:numId w:val="16"/>
              </w:numPr>
              <w:spacing w:before="120" w:after="120"/>
            </w:pPr>
            <w:r w:rsidRPr="002F6A28">
              <w:t xml:space="preserve">Regulation (EC) No 1907/2006 of the European Parliament and of the Council on the Registration, Evaluation, Authorisation and Restriction of Chemicals (REACH Regulation): </w:t>
            </w:r>
            <w:hyperlink r:id="rId11" w:history="1">
              <w:r w:rsidRPr="002F6A28">
                <w:rPr>
                  <w:color w:val="0000FF"/>
                  <w:u w:val="single"/>
                </w:rPr>
                <w:t>http://eur-lex.europa.eu/legal-content/EN/TXT/?qid=1423064258789&amp;uri=CELEX:32006R1907</w:t>
              </w:r>
            </w:hyperlink>
          </w:p>
          <w:p w14:paraId="4B9CCF2C" w14:textId="77777777" w:rsidR="00EE3A11" w:rsidRPr="002F6A28" w:rsidRDefault="007A4583" w:rsidP="007F13E8">
            <w:pPr>
              <w:numPr>
                <w:ilvl w:val="0"/>
                <w:numId w:val="16"/>
              </w:numPr>
              <w:spacing w:before="120" w:after="120"/>
            </w:pPr>
            <w:r w:rsidRPr="002F6A28">
              <w:t xml:space="preserve">The opinions of the Committees for Risk Assessment (RAC) and Socio-economic Analysis (SEAC): </w:t>
            </w:r>
            <w:hyperlink r:id="rId12" w:history="1">
              <w:r w:rsidRPr="002F6A28">
                <w:rPr>
                  <w:color w:val="0000FF"/>
                  <w:u w:val="single"/>
                </w:rPr>
                <w:t>https://echa.europa.eu/documents/10162/847134de-5d46-355d-bbf0-650fd9f59f78</w:t>
              </w:r>
            </w:hyperlink>
          </w:p>
          <w:p w14:paraId="59C49CE1" w14:textId="77777777" w:rsidR="00EE3A11" w:rsidRPr="002F6A28" w:rsidRDefault="007A4583" w:rsidP="007F13E8">
            <w:pPr>
              <w:numPr>
                <w:ilvl w:val="0"/>
                <w:numId w:val="16"/>
              </w:numPr>
              <w:spacing w:before="120" w:after="120"/>
            </w:pPr>
            <w:r w:rsidRPr="002F6A28">
              <w:t xml:space="preserve">Further background information is available at: </w:t>
            </w:r>
            <w:hyperlink r:id="rId13" w:history="1">
              <w:r w:rsidRPr="002F6A28">
                <w:rPr>
                  <w:color w:val="0000FF"/>
                  <w:u w:val="single"/>
                </w:rPr>
                <w:t>https://echa.europa.eu/documents/10162/75a0c497-69e0-1c74-689d-667bd49e47b9</w:t>
              </w:r>
            </w:hyperlink>
          </w:p>
        </w:tc>
      </w:tr>
      <w:tr w:rsidR="000F4256" w14:paraId="018B8C02" w14:textId="77777777" w:rsidTr="00AE6CC8">
        <w:trPr>
          <w:cantSplit/>
        </w:trPr>
        <w:tc>
          <w:tcPr>
            <w:tcW w:w="713" w:type="dxa"/>
            <w:tcBorders>
              <w:top w:val="single" w:sz="6" w:space="0" w:color="auto"/>
              <w:bottom w:val="single" w:sz="6" w:space="0" w:color="auto"/>
            </w:tcBorders>
            <w:shd w:val="clear" w:color="auto" w:fill="auto"/>
          </w:tcPr>
          <w:p w14:paraId="6E2EE521" w14:textId="77777777" w:rsidR="00EE3A11" w:rsidRPr="002F6A28" w:rsidRDefault="007A458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819163B" w14:textId="77777777" w:rsidR="00EE3A11" w:rsidRPr="002F6A28" w:rsidRDefault="007A4583" w:rsidP="008953C4">
            <w:pPr>
              <w:spacing w:before="120" w:after="120"/>
            </w:pPr>
            <w:r w:rsidRPr="002F6A28">
              <w:rPr>
                <w:b/>
              </w:rPr>
              <w:t>Proposed date of adoption:</w:t>
            </w:r>
            <w:r w:rsidRPr="00C379C8">
              <w:t xml:space="preserve"> First quarter of 2025</w:t>
            </w:r>
          </w:p>
          <w:p w14:paraId="15769700" w14:textId="77777777" w:rsidR="00EE3A11" w:rsidRPr="002F6A28" w:rsidRDefault="007A4583" w:rsidP="008953C4">
            <w:pPr>
              <w:spacing w:after="120"/>
            </w:pPr>
            <w:r w:rsidRPr="002F6A28">
              <w:rPr>
                <w:b/>
              </w:rPr>
              <w:t>Proposed date of entry into force:</w:t>
            </w:r>
            <w:r w:rsidRPr="00C379C8">
              <w:t xml:space="preserve"> 20 days from publication in the Official Journal of the EU. Application of the restriction would be deferred for 18 months after entry into force, for DMAC the man-made fibres sector, the restriction is deferred for 48 months, to give industry sufficient time to comply.</w:t>
            </w:r>
          </w:p>
        </w:tc>
      </w:tr>
      <w:tr w:rsidR="000F4256" w14:paraId="1EEE08C2" w14:textId="77777777" w:rsidTr="0069259F">
        <w:tc>
          <w:tcPr>
            <w:tcW w:w="713" w:type="dxa"/>
            <w:tcBorders>
              <w:top w:val="single" w:sz="6" w:space="0" w:color="auto"/>
              <w:bottom w:val="single" w:sz="6" w:space="0" w:color="auto"/>
            </w:tcBorders>
            <w:shd w:val="clear" w:color="auto" w:fill="auto"/>
          </w:tcPr>
          <w:p w14:paraId="6186D442" w14:textId="77777777" w:rsidR="00F85C99" w:rsidRPr="002F6A28" w:rsidRDefault="007A458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C89D647" w14:textId="77777777" w:rsidR="00F85C99" w:rsidRPr="002F6A28" w:rsidRDefault="007A4583" w:rsidP="002F6A28">
            <w:pPr>
              <w:spacing w:before="120" w:after="120"/>
            </w:pPr>
            <w:r w:rsidRPr="002F6A28">
              <w:rPr>
                <w:b/>
              </w:rPr>
              <w:t>Final date for comments:</w:t>
            </w:r>
            <w:r w:rsidR="00EE3A11" w:rsidRPr="00C379C8">
              <w:t xml:space="preserve"> 60 days from notification</w:t>
            </w:r>
          </w:p>
        </w:tc>
      </w:tr>
      <w:tr w:rsidR="000F4256" w14:paraId="6BF3731C" w14:textId="77777777" w:rsidTr="0069259F">
        <w:tc>
          <w:tcPr>
            <w:tcW w:w="713" w:type="dxa"/>
            <w:tcBorders>
              <w:top w:val="single" w:sz="6" w:space="0" w:color="auto"/>
            </w:tcBorders>
            <w:shd w:val="clear" w:color="auto" w:fill="auto"/>
          </w:tcPr>
          <w:p w14:paraId="2CD2BF56" w14:textId="77777777" w:rsidR="00F85C99" w:rsidRPr="002F6A28" w:rsidRDefault="007A458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C031D4F" w14:textId="77777777" w:rsidR="00F85C99" w:rsidRPr="002F6A28" w:rsidRDefault="007A4583"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0E883C17" w14:textId="77777777" w:rsidR="00EE3A11" w:rsidRPr="00A12DDE" w:rsidRDefault="007A4583" w:rsidP="00B16145">
            <w:pPr>
              <w:keepNext/>
              <w:keepLines/>
              <w:rPr>
                <w:bCs/>
              </w:rPr>
            </w:pPr>
            <w:r w:rsidRPr="00A12DDE">
              <w:rPr>
                <w:bCs/>
              </w:rPr>
              <w:t>European Commission,</w:t>
            </w:r>
          </w:p>
          <w:p w14:paraId="1B75F069" w14:textId="77777777" w:rsidR="00EE3A11" w:rsidRPr="00A12DDE" w:rsidRDefault="007A4583" w:rsidP="00B16145">
            <w:pPr>
              <w:keepNext/>
              <w:keepLines/>
              <w:rPr>
                <w:bCs/>
              </w:rPr>
            </w:pPr>
            <w:r w:rsidRPr="00A12DDE">
              <w:rPr>
                <w:bCs/>
              </w:rPr>
              <w:t>EU-TBT Enquiry Point,</w:t>
            </w:r>
          </w:p>
          <w:p w14:paraId="1694AC83" w14:textId="77777777" w:rsidR="00EE3A11" w:rsidRPr="00A12DDE" w:rsidRDefault="007A4583" w:rsidP="00B16145">
            <w:pPr>
              <w:keepNext/>
              <w:keepLines/>
              <w:rPr>
                <w:bCs/>
              </w:rPr>
            </w:pPr>
            <w:r w:rsidRPr="00A12DDE">
              <w:rPr>
                <w:bCs/>
              </w:rPr>
              <w:t>Fax: + (32) 2 299 80 43,</w:t>
            </w:r>
          </w:p>
          <w:p w14:paraId="60AAD230" w14:textId="77777777" w:rsidR="00EE3A11" w:rsidRPr="00A12DDE" w:rsidRDefault="007A4583" w:rsidP="00B16145">
            <w:pPr>
              <w:keepNext/>
              <w:keepLines/>
              <w:rPr>
                <w:bCs/>
              </w:rPr>
            </w:pPr>
            <w:r w:rsidRPr="00A12DDE">
              <w:rPr>
                <w:bCs/>
              </w:rPr>
              <w:t xml:space="preserve">E-mail: </w:t>
            </w:r>
            <w:hyperlink r:id="rId14" w:history="1">
              <w:r w:rsidRPr="00A12DDE">
                <w:rPr>
                  <w:bCs/>
                  <w:color w:val="0000FF"/>
                  <w:u w:val="single"/>
                </w:rPr>
                <w:t>grow-eu-tbt@ec.europa.eu</w:t>
              </w:r>
            </w:hyperlink>
          </w:p>
          <w:p w14:paraId="144E68E9" w14:textId="77777777" w:rsidR="00EE3A11" w:rsidRPr="00A12DDE" w:rsidRDefault="007A4583" w:rsidP="00B16145">
            <w:pPr>
              <w:keepNext/>
              <w:keepLines/>
              <w:rPr>
                <w:bCs/>
              </w:rPr>
            </w:pPr>
            <w:r w:rsidRPr="00A12DDE">
              <w:rPr>
                <w:bCs/>
              </w:rPr>
              <w:t xml:space="preserve">The text is available on the EU-TBT Website : </w:t>
            </w:r>
            <w:hyperlink r:id="rId15" w:tgtFrame="_blank" w:history="1">
              <w:r w:rsidRPr="00A12DDE">
                <w:rPr>
                  <w:bCs/>
                  <w:color w:val="0000FF"/>
                  <w:u w:val="single"/>
                </w:rPr>
                <w:t>http://ec.europa.eu/growth/tools-databases/tbt/en/</w:t>
              </w:r>
            </w:hyperlink>
          </w:p>
          <w:p w14:paraId="1F1B7495" w14:textId="77777777" w:rsidR="00EE3A11" w:rsidRPr="00A12DDE" w:rsidRDefault="00B52CF8" w:rsidP="00B16145">
            <w:pPr>
              <w:keepNext/>
              <w:keepLines/>
              <w:pBdr>
                <w:top w:val="none" w:sz="0" w:space="4" w:color="auto"/>
              </w:pBdr>
              <w:rPr>
                <w:bCs/>
              </w:rPr>
            </w:pPr>
            <w:hyperlink r:id="rId16" w:tgtFrame="_blank" w:history="1">
              <w:r w:rsidR="007A4583" w:rsidRPr="00A12DDE">
                <w:rPr>
                  <w:bCs/>
                  <w:color w:val="0000FF"/>
                  <w:u w:val="single"/>
                </w:rPr>
                <w:t>https://members.wto.org/crnattachments/2024/TBT/EEC/24_04902_00_e.pdf</w:t>
              </w:r>
            </w:hyperlink>
          </w:p>
          <w:p w14:paraId="7B544BF8" w14:textId="77777777" w:rsidR="00EE3A11" w:rsidRPr="00A12DDE" w:rsidRDefault="00B52CF8" w:rsidP="00B16145">
            <w:pPr>
              <w:keepNext/>
              <w:keepLines/>
              <w:spacing w:after="120"/>
              <w:rPr>
                <w:bCs/>
              </w:rPr>
            </w:pPr>
            <w:hyperlink r:id="rId17" w:tgtFrame="_blank" w:history="1">
              <w:r w:rsidR="007A4583" w:rsidRPr="00A12DDE">
                <w:rPr>
                  <w:bCs/>
                  <w:color w:val="0000FF"/>
                  <w:u w:val="single"/>
                </w:rPr>
                <w:t>https://members.wto.org/crnattachments/2024/TBT/EEC/24_04902_01_e.pdf</w:t>
              </w:r>
            </w:hyperlink>
          </w:p>
        </w:tc>
      </w:tr>
    </w:tbl>
    <w:p w14:paraId="7593E97D" w14:textId="77777777" w:rsidR="00EE3A11" w:rsidRPr="002F6A28" w:rsidRDefault="00EE3A11" w:rsidP="002F6A28"/>
    <w:sectPr w:rsidR="00EE3A11" w:rsidRPr="002F6A28" w:rsidSect="00760DB3">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ED486" w14:textId="77777777" w:rsidR="007A4583" w:rsidRDefault="007A4583">
      <w:r>
        <w:separator/>
      </w:r>
    </w:p>
  </w:endnote>
  <w:endnote w:type="continuationSeparator" w:id="0">
    <w:p w14:paraId="08E451E1" w14:textId="77777777" w:rsidR="007A4583" w:rsidRDefault="007A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AF48" w14:textId="77777777" w:rsidR="009239F7" w:rsidRPr="002F6A28" w:rsidRDefault="007A458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1409" w14:textId="77777777" w:rsidR="009239F7" w:rsidRPr="002F6A28" w:rsidRDefault="007A458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7A9C" w14:textId="77777777" w:rsidR="00EE3A11" w:rsidRPr="002F6A28" w:rsidRDefault="007A458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26861" w14:textId="77777777" w:rsidR="007A4583" w:rsidRDefault="007A4583">
      <w:r>
        <w:separator/>
      </w:r>
    </w:p>
  </w:footnote>
  <w:footnote w:type="continuationSeparator" w:id="0">
    <w:p w14:paraId="77D8E5F0" w14:textId="77777777" w:rsidR="007A4583" w:rsidRDefault="007A4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0C3D4" w14:textId="77777777" w:rsidR="009239F7" w:rsidRPr="002F6A28" w:rsidRDefault="007A4583" w:rsidP="009239F7">
    <w:pPr>
      <w:pStyle w:val="Header"/>
      <w:pBdr>
        <w:bottom w:val="single" w:sz="4" w:space="1" w:color="auto"/>
      </w:pBdr>
      <w:tabs>
        <w:tab w:val="clear" w:pos="4513"/>
        <w:tab w:val="clear" w:pos="9027"/>
      </w:tabs>
      <w:jc w:val="center"/>
    </w:pPr>
    <w:r w:rsidRPr="002F6A28">
      <w:t>tbtSymbol</w:t>
    </w:r>
  </w:p>
  <w:p w14:paraId="24657EC6" w14:textId="77777777" w:rsidR="009239F7" w:rsidRPr="002F6A28" w:rsidRDefault="009239F7" w:rsidP="009239F7">
    <w:pPr>
      <w:pStyle w:val="Header"/>
      <w:pBdr>
        <w:bottom w:val="single" w:sz="4" w:space="1" w:color="auto"/>
      </w:pBdr>
      <w:tabs>
        <w:tab w:val="clear" w:pos="4513"/>
        <w:tab w:val="clear" w:pos="9027"/>
      </w:tabs>
      <w:jc w:val="center"/>
    </w:pPr>
  </w:p>
  <w:p w14:paraId="64BD34D7" w14:textId="77777777" w:rsidR="009239F7" w:rsidRPr="002F6A28" w:rsidRDefault="007A458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9A0FDD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C066" w14:textId="77777777" w:rsidR="009239F7" w:rsidRPr="002F6A28" w:rsidRDefault="007A4583" w:rsidP="009239F7">
    <w:pPr>
      <w:pStyle w:val="Header"/>
      <w:pBdr>
        <w:bottom w:val="single" w:sz="4" w:space="1" w:color="auto"/>
      </w:pBdr>
      <w:tabs>
        <w:tab w:val="clear" w:pos="4513"/>
        <w:tab w:val="clear" w:pos="9027"/>
      </w:tabs>
      <w:jc w:val="center"/>
    </w:pPr>
    <w:bookmarkStart w:id="0" w:name="spsSymbolHeader"/>
    <w:r w:rsidRPr="002F6A28">
      <w:t>G/TBT/N/EU/1079</w:t>
    </w:r>
    <w:bookmarkEnd w:id="0"/>
  </w:p>
  <w:p w14:paraId="6F39FE9D" w14:textId="77777777" w:rsidR="009239F7" w:rsidRPr="002F6A28" w:rsidRDefault="009239F7" w:rsidP="009239F7">
    <w:pPr>
      <w:pStyle w:val="Header"/>
      <w:pBdr>
        <w:bottom w:val="single" w:sz="4" w:space="1" w:color="auto"/>
      </w:pBdr>
      <w:tabs>
        <w:tab w:val="clear" w:pos="4513"/>
        <w:tab w:val="clear" w:pos="9027"/>
      </w:tabs>
      <w:jc w:val="center"/>
    </w:pPr>
  </w:p>
  <w:p w14:paraId="1EE9CD17" w14:textId="77777777" w:rsidR="009239F7" w:rsidRPr="002F6A28" w:rsidRDefault="007A458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A6DAF2B"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F4256" w14:paraId="3D28104F" w14:textId="77777777" w:rsidTr="008612A9">
      <w:trPr>
        <w:trHeight w:val="240"/>
        <w:jc w:val="center"/>
      </w:trPr>
      <w:tc>
        <w:tcPr>
          <w:tcW w:w="3794" w:type="dxa"/>
          <w:shd w:val="clear" w:color="auto" w:fill="FFFFFF"/>
          <w:tcMar>
            <w:left w:w="108" w:type="dxa"/>
            <w:right w:w="108" w:type="dxa"/>
          </w:tcMar>
          <w:vAlign w:val="center"/>
        </w:tcPr>
        <w:p w14:paraId="51E93CB8"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7BCB311D" w14:textId="77777777" w:rsidR="00ED54E0" w:rsidRPr="009239F7" w:rsidRDefault="00ED54E0" w:rsidP="00B801E9">
          <w:pPr>
            <w:jc w:val="right"/>
            <w:rPr>
              <w:b/>
              <w:color w:val="FF0000"/>
              <w:szCs w:val="16"/>
            </w:rPr>
          </w:pPr>
        </w:p>
      </w:tc>
    </w:tr>
    <w:bookmarkEnd w:id="1"/>
    <w:tr w:rsidR="000F4256" w14:paraId="1B3D7032" w14:textId="77777777" w:rsidTr="008612A9">
      <w:trPr>
        <w:trHeight w:val="213"/>
        <w:jc w:val="center"/>
      </w:trPr>
      <w:tc>
        <w:tcPr>
          <w:tcW w:w="3794" w:type="dxa"/>
          <w:vMerge w:val="restart"/>
          <w:shd w:val="clear" w:color="auto" w:fill="FFFFFF"/>
          <w:tcMar>
            <w:left w:w="0" w:type="dxa"/>
            <w:right w:w="0" w:type="dxa"/>
          </w:tcMar>
        </w:tcPr>
        <w:p w14:paraId="45067A65" w14:textId="77777777" w:rsidR="00ED54E0" w:rsidRPr="009239F7" w:rsidRDefault="007A4583" w:rsidP="00B801E9">
          <w:pPr>
            <w:jc w:val="left"/>
          </w:pPr>
          <w:r>
            <w:rPr>
              <w:noProof/>
              <w:lang w:eastAsia="en-GB"/>
            </w:rPr>
            <w:drawing>
              <wp:inline distT="0" distB="0" distL="0" distR="0" wp14:anchorId="740D225A" wp14:editId="36EBDA4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7531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4924A69" w14:textId="77777777" w:rsidR="00ED54E0" w:rsidRPr="009239F7" w:rsidRDefault="00ED54E0" w:rsidP="00B801E9">
          <w:pPr>
            <w:jc w:val="right"/>
            <w:rPr>
              <w:b/>
              <w:szCs w:val="16"/>
            </w:rPr>
          </w:pPr>
        </w:p>
      </w:tc>
    </w:tr>
    <w:tr w:rsidR="000F4256" w14:paraId="41D0DE6F" w14:textId="77777777" w:rsidTr="008612A9">
      <w:trPr>
        <w:trHeight w:val="868"/>
        <w:jc w:val="center"/>
      </w:trPr>
      <w:tc>
        <w:tcPr>
          <w:tcW w:w="3794" w:type="dxa"/>
          <w:vMerge/>
          <w:shd w:val="clear" w:color="auto" w:fill="FFFFFF"/>
          <w:tcMar>
            <w:left w:w="108" w:type="dxa"/>
            <w:right w:w="108" w:type="dxa"/>
          </w:tcMar>
        </w:tcPr>
        <w:p w14:paraId="1F05DDA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F15C91B" w14:textId="77777777" w:rsidR="009239F7" w:rsidRPr="002F6A28" w:rsidRDefault="007A4583" w:rsidP="00B801E9">
          <w:pPr>
            <w:jc w:val="right"/>
            <w:rPr>
              <w:b/>
              <w:szCs w:val="16"/>
            </w:rPr>
          </w:pPr>
          <w:bookmarkStart w:id="2" w:name="bmkSymbols"/>
          <w:r w:rsidRPr="002F6A28">
            <w:rPr>
              <w:b/>
              <w:szCs w:val="16"/>
            </w:rPr>
            <w:t>G/TBT/N/EU/1079</w:t>
          </w:r>
          <w:bookmarkEnd w:id="2"/>
        </w:p>
      </w:tc>
    </w:tr>
    <w:tr w:rsidR="000F4256" w14:paraId="6BCE6FCA" w14:textId="77777777" w:rsidTr="008612A9">
      <w:trPr>
        <w:trHeight w:val="240"/>
        <w:jc w:val="center"/>
      </w:trPr>
      <w:tc>
        <w:tcPr>
          <w:tcW w:w="3794" w:type="dxa"/>
          <w:vMerge/>
          <w:shd w:val="clear" w:color="auto" w:fill="FFFFFF"/>
          <w:tcMar>
            <w:left w:w="108" w:type="dxa"/>
            <w:right w:w="108" w:type="dxa"/>
          </w:tcMar>
          <w:vAlign w:val="center"/>
        </w:tcPr>
        <w:p w14:paraId="04F22910" w14:textId="77777777" w:rsidR="00ED54E0" w:rsidRPr="009239F7" w:rsidRDefault="00ED54E0" w:rsidP="00B801E9"/>
      </w:tc>
      <w:tc>
        <w:tcPr>
          <w:tcW w:w="5448" w:type="dxa"/>
          <w:gridSpan w:val="2"/>
          <w:shd w:val="clear" w:color="auto" w:fill="FFFFFF"/>
          <w:tcMar>
            <w:left w:w="108" w:type="dxa"/>
            <w:right w:w="108" w:type="dxa"/>
          </w:tcMar>
          <w:vAlign w:val="center"/>
        </w:tcPr>
        <w:p w14:paraId="591DEB08" w14:textId="5D364CAB" w:rsidR="00ED54E0" w:rsidRPr="009239F7" w:rsidRDefault="007A4583" w:rsidP="00B801E9">
          <w:pPr>
            <w:jc w:val="right"/>
            <w:rPr>
              <w:szCs w:val="16"/>
            </w:rPr>
          </w:pPr>
          <w:bookmarkStart w:id="3" w:name="spsDateDistribution"/>
          <w:bookmarkStart w:id="4" w:name="bmkDate"/>
          <w:bookmarkEnd w:id="3"/>
          <w:bookmarkEnd w:id="4"/>
          <w:r>
            <w:rPr>
              <w:szCs w:val="16"/>
            </w:rPr>
            <w:t>30 July 2024</w:t>
          </w:r>
        </w:p>
      </w:tc>
    </w:tr>
    <w:tr w:rsidR="000F4256" w14:paraId="29E8794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9A38913" w14:textId="6623CF21" w:rsidR="00ED54E0" w:rsidRPr="009239F7" w:rsidRDefault="007A4583"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B52CF8">
            <w:rPr>
              <w:color w:val="FF0000"/>
              <w:szCs w:val="16"/>
            </w:rPr>
            <w:t>5431</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41CE7EEF" w14:textId="77777777" w:rsidR="00ED54E0" w:rsidRPr="009239F7" w:rsidRDefault="007A4583"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0F4256" w14:paraId="0F22463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6818C8E" w14:textId="77777777" w:rsidR="00ED54E0" w:rsidRPr="009239F7" w:rsidRDefault="007A4583"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42FA15C7" w14:textId="77777777" w:rsidR="00ED54E0" w:rsidRPr="002F6A28" w:rsidRDefault="007A4583"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30ED6EE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9F8AA44">
      <w:start w:val="1"/>
      <w:numFmt w:val="decimal"/>
      <w:pStyle w:val="SummaryText"/>
      <w:lvlText w:val="%1."/>
      <w:lvlJc w:val="left"/>
      <w:pPr>
        <w:ind w:left="360" w:hanging="360"/>
      </w:pPr>
    </w:lvl>
    <w:lvl w:ilvl="1" w:tplc="6C64CDE8" w:tentative="1">
      <w:start w:val="1"/>
      <w:numFmt w:val="lowerLetter"/>
      <w:lvlText w:val="%2."/>
      <w:lvlJc w:val="left"/>
      <w:pPr>
        <w:ind w:left="1080" w:hanging="360"/>
      </w:pPr>
    </w:lvl>
    <w:lvl w:ilvl="2" w:tplc="E6CCBFE6" w:tentative="1">
      <w:start w:val="1"/>
      <w:numFmt w:val="lowerRoman"/>
      <w:lvlText w:val="%3."/>
      <w:lvlJc w:val="right"/>
      <w:pPr>
        <w:ind w:left="1800" w:hanging="180"/>
      </w:pPr>
    </w:lvl>
    <w:lvl w:ilvl="3" w:tplc="824E838A" w:tentative="1">
      <w:start w:val="1"/>
      <w:numFmt w:val="decimal"/>
      <w:lvlText w:val="%4."/>
      <w:lvlJc w:val="left"/>
      <w:pPr>
        <w:ind w:left="2520" w:hanging="360"/>
      </w:pPr>
    </w:lvl>
    <w:lvl w:ilvl="4" w:tplc="E13A260A" w:tentative="1">
      <w:start w:val="1"/>
      <w:numFmt w:val="lowerLetter"/>
      <w:lvlText w:val="%5."/>
      <w:lvlJc w:val="left"/>
      <w:pPr>
        <w:ind w:left="3240" w:hanging="360"/>
      </w:pPr>
    </w:lvl>
    <w:lvl w:ilvl="5" w:tplc="AFA831F2" w:tentative="1">
      <w:start w:val="1"/>
      <w:numFmt w:val="lowerRoman"/>
      <w:lvlText w:val="%6."/>
      <w:lvlJc w:val="right"/>
      <w:pPr>
        <w:ind w:left="3960" w:hanging="180"/>
      </w:pPr>
    </w:lvl>
    <w:lvl w:ilvl="6" w:tplc="58041EA6" w:tentative="1">
      <w:start w:val="1"/>
      <w:numFmt w:val="decimal"/>
      <w:lvlText w:val="%7."/>
      <w:lvlJc w:val="left"/>
      <w:pPr>
        <w:ind w:left="4680" w:hanging="360"/>
      </w:pPr>
    </w:lvl>
    <w:lvl w:ilvl="7" w:tplc="06FA1C74" w:tentative="1">
      <w:start w:val="1"/>
      <w:numFmt w:val="lowerLetter"/>
      <w:lvlText w:val="%8."/>
      <w:lvlJc w:val="left"/>
      <w:pPr>
        <w:ind w:left="5400" w:hanging="360"/>
      </w:pPr>
    </w:lvl>
    <w:lvl w:ilvl="8" w:tplc="06C27DB2"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2550DD30">
      <w:start w:val="1"/>
      <w:numFmt w:val="bullet"/>
      <w:lvlText w:val=""/>
      <w:lvlJc w:val="left"/>
      <w:pPr>
        <w:ind w:left="720" w:hanging="360"/>
      </w:pPr>
      <w:rPr>
        <w:rFonts w:ascii="Symbol" w:hAnsi="Symbol"/>
      </w:rPr>
    </w:lvl>
    <w:lvl w:ilvl="1" w:tplc="0D3CF58C">
      <w:start w:val="1"/>
      <w:numFmt w:val="bullet"/>
      <w:lvlText w:val="o"/>
      <w:lvlJc w:val="left"/>
      <w:pPr>
        <w:tabs>
          <w:tab w:val="num" w:pos="1440"/>
        </w:tabs>
        <w:ind w:left="1440" w:hanging="360"/>
      </w:pPr>
      <w:rPr>
        <w:rFonts w:ascii="Courier New" w:hAnsi="Courier New"/>
      </w:rPr>
    </w:lvl>
    <w:lvl w:ilvl="2" w:tplc="90A21DFC">
      <w:start w:val="1"/>
      <w:numFmt w:val="bullet"/>
      <w:lvlText w:val=""/>
      <w:lvlJc w:val="left"/>
      <w:pPr>
        <w:tabs>
          <w:tab w:val="num" w:pos="2160"/>
        </w:tabs>
        <w:ind w:left="2160" w:hanging="360"/>
      </w:pPr>
      <w:rPr>
        <w:rFonts w:ascii="Wingdings" w:hAnsi="Wingdings"/>
      </w:rPr>
    </w:lvl>
    <w:lvl w:ilvl="3" w:tplc="D37AAD4A">
      <w:start w:val="1"/>
      <w:numFmt w:val="bullet"/>
      <w:lvlText w:val=""/>
      <w:lvlJc w:val="left"/>
      <w:pPr>
        <w:tabs>
          <w:tab w:val="num" w:pos="2880"/>
        </w:tabs>
        <w:ind w:left="2880" w:hanging="360"/>
      </w:pPr>
      <w:rPr>
        <w:rFonts w:ascii="Symbol" w:hAnsi="Symbol"/>
      </w:rPr>
    </w:lvl>
    <w:lvl w:ilvl="4" w:tplc="754C57A0">
      <w:start w:val="1"/>
      <w:numFmt w:val="bullet"/>
      <w:lvlText w:val="o"/>
      <w:lvlJc w:val="left"/>
      <w:pPr>
        <w:tabs>
          <w:tab w:val="num" w:pos="3600"/>
        </w:tabs>
        <w:ind w:left="3600" w:hanging="360"/>
      </w:pPr>
      <w:rPr>
        <w:rFonts w:ascii="Courier New" w:hAnsi="Courier New"/>
      </w:rPr>
    </w:lvl>
    <w:lvl w:ilvl="5" w:tplc="2FF63A84">
      <w:start w:val="1"/>
      <w:numFmt w:val="bullet"/>
      <w:lvlText w:val=""/>
      <w:lvlJc w:val="left"/>
      <w:pPr>
        <w:tabs>
          <w:tab w:val="num" w:pos="4320"/>
        </w:tabs>
        <w:ind w:left="4320" w:hanging="360"/>
      </w:pPr>
      <w:rPr>
        <w:rFonts w:ascii="Wingdings" w:hAnsi="Wingdings"/>
      </w:rPr>
    </w:lvl>
    <w:lvl w:ilvl="6" w:tplc="2752CC4A">
      <w:start w:val="1"/>
      <w:numFmt w:val="bullet"/>
      <w:lvlText w:val=""/>
      <w:lvlJc w:val="left"/>
      <w:pPr>
        <w:tabs>
          <w:tab w:val="num" w:pos="5040"/>
        </w:tabs>
        <w:ind w:left="5040" w:hanging="360"/>
      </w:pPr>
      <w:rPr>
        <w:rFonts w:ascii="Symbol" w:hAnsi="Symbol"/>
      </w:rPr>
    </w:lvl>
    <w:lvl w:ilvl="7" w:tplc="ED1E1B84">
      <w:start w:val="1"/>
      <w:numFmt w:val="bullet"/>
      <w:lvlText w:val="o"/>
      <w:lvlJc w:val="left"/>
      <w:pPr>
        <w:tabs>
          <w:tab w:val="num" w:pos="5760"/>
        </w:tabs>
        <w:ind w:left="5760" w:hanging="360"/>
      </w:pPr>
      <w:rPr>
        <w:rFonts w:ascii="Courier New" w:hAnsi="Courier New"/>
      </w:rPr>
    </w:lvl>
    <w:lvl w:ilvl="8" w:tplc="0576F0EE">
      <w:start w:val="1"/>
      <w:numFmt w:val="bullet"/>
      <w:lvlText w:val=""/>
      <w:lvlJc w:val="left"/>
      <w:pPr>
        <w:tabs>
          <w:tab w:val="num" w:pos="6480"/>
        </w:tabs>
        <w:ind w:left="6480" w:hanging="360"/>
      </w:pPr>
      <w:rPr>
        <w:rFonts w:ascii="Wingdings" w:hAnsi="Wingdings"/>
      </w:rPr>
    </w:lvl>
  </w:abstractNum>
  <w:num w:numId="1" w16cid:durableId="1479303224">
    <w:abstractNumId w:val="9"/>
  </w:num>
  <w:num w:numId="2" w16cid:durableId="1548880721">
    <w:abstractNumId w:val="7"/>
  </w:num>
  <w:num w:numId="3" w16cid:durableId="790712662">
    <w:abstractNumId w:val="6"/>
  </w:num>
  <w:num w:numId="4" w16cid:durableId="897016507">
    <w:abstractNumId w:val="5"/>
  </w:num>
  <w:num w:numId="5" w16cid:durableId="1755005596">
    <w:abstractNumId w:val="4"/>
  </w:num>
  <w:num w:numId="6" w16cid:durableId="256057130">
    <w:abstractNumId w:val="12"/>
  </w:num>
  <w:num w:numId="7" w16cid:durableId="784466276">
    <w:abstractNumId w:val="11"/>
  </w:num>
  <w:num w:numId="8" w16cid:durableId="936720230">
    <w:abstractNumId w:val="10"/>
  </w:num>
  <w:num w:numId="9" w16cid:durableId="16722904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7831240">
    <w:abstractNumId w:val="13"/>
  </w:num>
  <w:num w:numId="11" w16cid:durableId="170149198">
    <w:abstractNumId w:val="8"/>
  </w:num>
  <w:num w:numId="12" w16cid:durableId="38213792">
    <w:abstractNumId w:val="3"/>
  </w:num>
  <w:num w:numId="13" w16cid:durableId="1927572297">
    <w:abstractNumId w:val="2"/>
  </w:num>
  <w:num w:numId="14" w16cid:durableId="1321697123">
    <w:abstractNumId w:val="1"/>
  </w:num>
  <w:num w:numId="15" w16cid:durableId="1374043694">
    <w:abstractNumId w:val="0"/>
  </w:num>
  <w:num w:numId="16" w16cid:durableId="1981320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0F4256"/>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3D88"/>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A45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3709"/>
    <w:rsid w:val="00B16145"/>
    <w:rsid w:val="00B230EC"/>
    <w:rsid w:val="00B23F74"/>
    <w:rsid w:val="00B24459"/>
    <w:rsid w:val="00B4237E"/>
    <w:rsid w:val="00B52738"/>
    <w:rsid w:val="00B52CF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2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ha.europa.eu/documents/10162/75a0c497-69e0-1c74-689d-667bd49e47b9"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echa.europa.eu/documents/10162/847134de-5d46-355d-bbf0-650fd9f59f78" TargetMode="External"/><Relationship Id="rId17" Type="http://schemas.openxmlformats.org/officeDocument/2006/relationships/hyperlink" Target="https://members.wto.org/crnattachments/2024/TBT/EEC/24_04902_01_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mbers.wto.org/crnattachments/2024/TBT/EEC/24_04902_00_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EN/TXT/?qid=1423064258789&amp;uri=CELEX:32006R1907"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c.europa.eu/growth/tools-databases/tbt/en/" TargetMode="External"/><Relationship Id="rId23" Type="http://schemas.openxmlformats.org/officeDocument/2006/relationships/footer" Target="footer3.xml"/><Relationship Id="rId10" Type="http://schemas.openxmlformats.org/officeDocument/2006/relationships/hyperlink" Target="http://ec.europa.eu/growth/tools-databases/tbt/en/"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grow-eu-tbt@ec.europa.eu" TargetMode="External"/><Relationship Id="rId14" Type="http://schemas.openxmlformats.org/officeDocument/2006/relationships/hyperlink" Target="mailto:grow-eu-tbt@ec.europa.eu"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11E66-4301-4559-8141-BECEED1D3917}">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604</Words>
  <Characters>3857</Characters>
  <Application>Microsoft Office Word</Application>
  <DocSecurity>0</DocSecurity>
  <Lines>86</Lines>
  <Paragraphs>48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2024-07-30T14:04:00Z</dcterms:created>
  <dcterms:modified xsi:type="dcterms:W3CDTF">2024-07-30T14:19:00Z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