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6ED6" w14:textId="77777777" w:rsidR="009239F7" w:rsidRPr="002F6A28" w:rsidRDefault="00645C2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7BBCB7B" w14:textId="77777777" w:rsidR="009239F7" w:rsidRPr="002F6A28" w:rsidRDefault="00645C2F" w:rsidP="002F6A28">
      <w:pPr>
        <w:jc w:val="center"/>
      </w:pPr>
      <w:r w:rsidRPr="002F6A28">
        <w:t>The following notification is being circulated in accordance with Article 10.6</w:t>
      </w:r>
    </w:p>
    <w:p w14:paraId="6A79E8F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9079D" w14:paraId="5A641E8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1EAA61D" w14:textId="77777777" w:rsidR="00F85C99" w:rsidRPr="002F6A28" w:rsidRDefault="00645C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1F39FB3" w14:textId="77777777" w:rsidR="00F85C99" w:rsidRPr="002F6A28" w:rsidRDefault="00645C2F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UNITED KINGDOM</w:t>
            </w:r>
          </w:p>
          <w:p w14:paraId="7A423E7C" w14:textId="77777777" w:rsidR="00F85C99" w:rsidRPr="002F6A28" w:rsidRDefault="00645C2F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59079D" w14:paraId="2B0BBF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4C93C" w14:textId="77777777" w:rsidR="00F85C99" w:rsidRPr="002F6A28" w:rsidRDefault="00645C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8DD9C" w14:textId="77777777" w:rsidR="00F85C99" w:rsidRPr="002F6A28" w:rsidRDefault="00645C2F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4BA8935" w14:textId="77777777" w:rsidR="00EE3A11" w:rsidRPr="00C379C8" w:rsidRDefault="00645C2F" w:rsidP="00155128">
            <w:pPr>
              <w:spacing w:after="120"/>
            </w:pPr>
            <w:r w:rsidRPr="00C379C8">
              <w:t>Department for Business and Trade, Office for Product Safety and Standards (OPSS)</w:t>
            </w:r>
          </w:p>
          <w:p w14:paraId="532E806F" w14:textId="77777777" w:rsidR="00F85C99" w:rsidRPr="002F6A28" w:rsidRDefault="00645C2F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A01F56C" w14:textId="77777777" w:rsidR="00AC6C6E" w:rsidRPr="00C379C8" w:rsidRDefault="00645C2F" w:rsidP="00AA646C">
            <w:r w:rsidRPr="00C379C8">
              <w:t>UK TBT Enquiry Point</w:t>
            </w:r>
          </w:p>
          <w:p w14:paraId="7830F491" w14:textId="77777777" w:rsidR="00AC6C6E" w:rsidRPr="00C379C8" w:rsidRDefault="00645C2F" w:rsidP="00AA646C">
            <w:r w:rsidRPr="00C379C8">
              <w:t>Trade Policy, Implementation and Negotiations</w:t>
            </w:r>
          </w:p>
          <w:p w14:paraId="092351B2" w14:textId="77777777" w:rsidR="00AC6C6E" w:rsidRPr="00C379C8" w:rsidRDefault="00645C2F" w:rsidP="00AA646C">
            <w:r w:rsidRPr="00C379C8">
              <w:t>Department for Business and Trade</w:t>
            </w:r>
          </w:p>
          <w:p w14:paraId="2B01C63F" w14:textId="77777777" w:rsidR="00AC6C6E" w:rsidRPr="00C379C8" w:rsidRDefault="00645C2F" w:rsidP="00AA646C">
            <w:r w:rsidRPr="00C379C8">
              <w:t>Old Admiralty Building</w:t>
            </w:r>
          </w:p>
          <w:p w14:paraId="7E1F3BA5" w14:textId="77777777" w:rsidR="00AC6C6E" w:rsidRPr="00C379C8" w:rsidRDefault="00645C2F" w:rsidP="00AA646C">
            <w:r w:rsidRPr="00C379C8">
              <w:t>London</w:t>
            </w:r>
          </w:p>
          <w:p w14:paraId="0F402434" w14:textId="77777777" w:rsidR="00AC6C6E" w:rsidRPr="00C379C8" w:rsidRDefault="00645C2F" w:rsidP="00AA646C">
            <w:r w:rsidRPr="00C379C8">
              <w:t>SW1A 2DY</w:t>
            </w:r>
          </w:p>
          <w:p w14:paraId="2AB98ABA" w14:textId="77777777" w:rsidR="00AC6C6E" w:rsidRPr="00C379C8" w:rsidRDefault="00146C15" w:rsidP="00AA646C">
            <w:pPr>
              <w:spacing w:after="120"/>
            </w:pPr>
            <w:hyperlink r:id="rId9" w:history="1">
              <w:r w:rsidR="00645C2F" w:rsidRPr="00C379C8">
                <w:rPr>
                  <w:color w:val="0000FF"/>
                  <w:u w:val="single"/>
                </w:rPr>
                <w:t>TBTEnquiriesUK@businessandtrade.gov.uk</w:t>
              </w:r>
            </w:hyperlink>
          </w:p>
        </w:tc>
      </w:tr>
      <w:tr w:rsidR="0059079D" w14:paraId="5262CF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BADD4" w14:textId="77777777" w:rsidR="00F85C99" w:rsidRPr="002F6A28" w:rsidRDefault="00645C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892C1" w14:textId="77777777" w:rsidR="00F85C99" w:rsidRPr="0058336F" w:rsidRDefault="00645C2F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59079D" w14:paraId="7AADEB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09550" w14:textId="77777777" w:rsidR="00F85C99" w:rsidRPr="002F6A28" w:rsidRDefault="00645C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CF773" w14:textId="77777777" w:rsidR="00F85C99" w:rsidRPr="002F6A28" w:rsidRDefault="00645C2F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FURNITURE; BEDDING, MATTRESSES, MATTRESS SUPPORTS, CUSHIONS AND SIMILAR STUFFED FURNISHINGS; LUMINAIRES AND LIGHTING FITTINGS, NOT ELSEWHERE SPECIFIED OR INCLUDED; ILLUMINATED SIGNS, ILLUMINATED NAMEPLATES AND THE LIKE; PREFABRICATED BUILDINGS (HS code(s): 94)</w:t>
            </w:r>
          </w:p>
        </w:tc>
      </w:tr>
      <w:tr w:rsidR="0059079D" w14:paraId="7A3677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B40E6" w14:textId="77777777" w:rsidR="00F85C99" w:rsidRPr="002F6A28" w:rsidRDefault="00645C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5A9F7" w14:textId="77777777" w:rsidR="00F85C99" w:rsidRPr="002F6A28" w:rsidRDefault="00645C2F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Furniture and Furnishings (Fire) (Safety) (Amendment) Regulations 2025; (3 page(s), in English)</w:t>
            </w:r>
          </w:p>
        </w:tc>
      </w:tr>
      <w:tr w:rsidR="0059079D" w14:paraId="494099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0D243" w14:textId="77777777" w:rsidR="00F85C99" w:rsidRPr="002F6A28" w:rsidRDefault="00645C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F06EA" w14:textId="77777777" w:rsidR="00F85C99" w:rsidRPr="002F6A28" w:rsidRDefault="00645C2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notification intends to alert Members to amendments to the Furniture and Furnishings (Fire) (Safety) Regulations 1988 (the FFRs).</w:t>
            </w:r>
          </w:p>
          <w:p w14:paraId="46893026" w14:textId="77777777" w:rsidR="00FE448B" w:rsidRPr="00C379C8" w:rsidRDefault="00645C2F" w:rsidP="002F6A28">
            <w:pPr>
              <w:spacing w:before="120" w:after="120"/>
            </w:pPr>
            <w:r w:rsidRPr="00C379C8">
              <w:t>The proposed draft statutory instrument will amend the FFRs in the following ways:</w:t>
            </w:r>
          </w:p>
          <w:p w14:paraId="18090649" w14:textId="77777777" w:rsidR="00FE448B" w:rsidRPr="00C379C8" w:rsidRDefault="00645C2F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Amend the scope of products to which the FFRs apply, notably exclude certain baby and children's products from scope of the FFRs. A full list of products that will be excluded by the statutory instrument are provided in the notified document;</w:t>
            </w:r>
          </w:p>
          <w:p w14:paraId="2D42E840" w14:textId="77777777" w:rsidR="00FE448B" w:rsidRPr="00C379C8" w:rsidRDefault="00645C2F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Remove the requirement for manufacturers to affix a display label to new products; and</w:t>
            </w:r>
          </w:p>
          <w:p w14:paraId="7AD4AEE5" w14:textId="77777777" w:rsidR="00FE448B" w:rsidRPr="00C379C8" w:rsidRDefault="00645C2F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Extend the time frame for instituting legal proceedings from 6 – 12 months.</w:t>
            </w:r>
          </w:p>
          <w:p w14:paraId="4C468A9D" w14:textId="77777777" w:rsidR="00FE448B" w:rsidRPr="00C379C8" w:rsidRDefault="00645C2F" w:rsidP="002F6A28">
            <w:pPr>
              <w:spacing w:before="120" w:after="120"/>
            </w:pPr>
            <w:r w:rsidRPr="00C379C8">
              <w:t>The amended regulations will apply UK-wide, as the current regulations do; for the protection of human health and safety.</w:t>
            </w:r>
          </w:p>
        </w:tc>
      </w:tr>
      <w:tr w:rsidR="0059079D" w14:paraId="011F48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EF537" w14:textId="77777777" w:rsidR="00F85C99" w:rsidRPr="002F6A28" w:rsidRDefault="00645C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21513" w14:textId="77777777" w:rsidR="00F85C99" w:rsidRPr="002F6A28" w:rsidRDefault="00645C2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The FFRs, as amended in 1989, 1993 and 2010, sets fire safety levels for domestic upholstered furniture. They were introduced to respond to the increasing number of UK furniture fire-related deaths in the home from the 1960s to the 1980s, as cheaper but more flammable materials were replacing naturally fire-resistant materials in furniture making.; Protection of human health or safety</w:t>
            </w:r>
          </w:p>
        </w:tc>
      </w:tr>
      <w:tr w:rsidR="0059079D" w14:paraId="7CEB5B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A653A" w14:textId="77777777" w:rsidR="00F85C99" w:rsidRPr="002F6A28" w:rsidRDefault="00645C2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A1D90" w14:textId="77777777" w:rsidR="00086AF5" w:rsidRPr="00086AF5" w:rsidRDefault="00645C2F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50CD0B32" w14:textId="77777777" w:rsidR="00EE3A11" w:rsidRPr="002F6A28" w:rsidRDefault="00645C2F" w:rsidP="007F13E8">
            <w:pPr>
              <w:spacing w:before="120" w:after="120"/>
            </w:pPr>
            <w:r w:rsidRPr="002F6A28">
              <w:t>Statutory Instrument: The Furniture and Furnishings (Fire) (Safety) (Amendment) Regulations 2025 (attached)</w:t>
            </w:r>
          </w:p>
          <w:p w14:paraId="6533525B" w14:textId="77777777" w:rsidR="00EE3A11" w:rsidRPr="002F6A28" w:rsidRDefault="00645C2F" w:rsidP="007F13E8">
            <w:pPr>
              <w:spacing w:before="120" w:after="120"/>
            </w:pPr>
            <w:r w:rsidRPr="002F6A28">
              <w:t xml:space="preserve">Smarter Regulation: Fire Safety of domestic upholstered furniture - GOV.UK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https://www.gov.uk/government/consultations/smarter-regulation-fire-safety-of-domestic-upholstered-furniture</w:t>
              </w:r>
            </w:hyperlink>
          </w:p>
        </w:tc>
      </w:tr>
      <w:tr w:rsidR="0059079D" w14:paraId="0AFB527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0F46F" w14:textId="77777777" w:rsidR="00EE3A11" w:rsidRPr="002F6A28" w:rsidRDefault="00645C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E4A1F" w14:textId="77777777" w:rsidR="00EE3A11" w:rsidRPr="002F6A28" w:rsidRDefault="00645C2F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24 April 2025</w:t>
            </w:r>
          </w:p>
          <w:p w14:paraId="44EE7495" w14:textId="77777777" w:rsidR="00EE3A11" w:rsidRPr="002F6A28" w:rsidRDefault="00645C2F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24 October 2025</w:t>
            </w:r>
          </w:p>
        </w:tc>
      </w:tr>
      <w:tr w:rsidR="0059079D" w14:paraId="2B9DC6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887DC" w14:textId="77777777" w:rsidR="00F85C99" w:rsidRPr="002F6A28" w:rsidRDefault="00645C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0E5D5" w14:textId="77777777" w:rsidR="00F85C99" w:rsidRPr="002F6A28" w:rsidRDefault="00645C2F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59079D" w14:paraId="5569BAF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EE2E5BF" w14:textId="77777777" w:rsidR="00F85C99" w:rsidRPr="002F6A28" w:rsidRDefault="00645C2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94CBF2" w14:textId="77777777" w:rsidR="00F85C99" w:rsidRPr="002F6A28" w:rsidRDefault="00645C2F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0460CA8D" w14:textId="77777777" w:rsidR="00EE3A11" w:rsidRPr="00A12DDE" w:rsidRDefault="00645C2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UK TBT Enquiry Point</w:t>
            </w:r>
          </w:p>
          <w:p w14:paraId="10472937" w14:textId="77777777" w:rsidR="00EE3A11" w:rsidRPr="00A12DDE" w:rsidRDefault="00645C2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Trade Policy, Implementation and Negotiations</w:t>
            </w:r>
          </w:p>
          <w:p w14:paraId="1504D9FB" w14:textId="77777777" w:rsidR="00EE3A11" w:rsidRPr="00A12DDE" w:rsidRDefault="00645C2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Business and Trade</w:t>
            </w:r>
          </w:p>
          <w:p w14:paraId="762B3218" w14:textId="77777777" w:rsidR="00EE3A11" w:rsidRPr="00A12DDE" w:rsidRDefault="00645C2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Old Admiralty Building</w:t>
            </w:r>
          </w:p>
          <w:p w14:paraId="722DC098" w14:textId="77777777" w:rsidR="00EE3A11" w:rsidRPr="00A12DDE" w:rsidRDefault="00645C2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London</w:t>
            </w:r>
          </w:p>
          <w:p w14:paraId="60428D6A" w14:textId="77777777" w:rsidR="00EE3A11" w:rsidRPr="00A12DDE" w:rsidRDefault="00645C2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SW1A 2DY</w:t>
            </w:r>
          </w:p>
          <w:p w14:paraId="743801A2" w14:textId="77777777" w:rsidR="00EE3A11" w:rsidRPr="00A12DDE" w:rsidRDefault="00146C15" w:rsidP="00B16145">
            <w:pPr>
              <w:keepNext/>
              <w:keepLines/>
              <w:rPr>
                <w:bCs/>
              </w:rPr>
            </w:pPr>
            <w:hyperlink r:id="rId11" w:history="1">
              <w:r w:rsidR="00645C2F" w:rsidRPr="00A12DDE">
                <w:rPr>
                  <w:bCs/>
                  <w:color w:val="0000FF"/>
                  <w:u w:val="single"/>
                </w:rPr>
                <w:t>tbtenquiriesuk@businessandtrade.gov.uk</w:t>
              </w:r>
            </w:hyperlink>
          </w:p>
          <w:p w14:paraId="23A393CC" w14:textId="77777777" w:rsidR="00EE3A11" w:rsidRPr="00A12DDE" w:rsidRDefault="00146C1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645C2F" w:rsidRPr="00A12DDE">
                <w:rPr>
                  <w:bCs/>
                  <w:color w:val="0000FF"/>
                  <w:u w:val="single"/>
                </w:rPr>
                <w:t>https://members.wto.org/crnattachments/2025/TBT/GBR/25_00918_00_e.pdf</w:t>
              </w:r>
            </w:hyperlink>
          </w:p>
        </w:tc>
      </w:tr>
    </w:tbl>
    <w:p w14:paraId="5436AF55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50F3" w14:textId="77777777" w:rsidR="00645C2F" w:rsidRDefault="00645C2F">
      <w:r>
        <w:separator/>
      </w:r>
    </w:p>
  </w:endnote>
  <w:endnote w:type="continuationSeparator" w:id="0">
    <w:p w14:paraId="46FC0532" w14:textId="77777777" w:rsidR="00645C2F" w:rsidRDefault="0064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9CC7" w14:textId="77777777" w:rsidR="009239F7" w:rsidRPr="002F6A28" w:rsidRDefault="00645C2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15C0" w14:textId="77777777" w:rsidR="009239F7" w:rsidRPr="002F6A28" w:rsidRDefault="00645C2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4424" w14:textId="77777777" w:rsidR="00EE3A11" w:rsidRPr="002F6A28" w:rsidRDefault="00645C2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F176" w14:textId="77777777" w:rsidR="00645C2F" w:rsidRDefault="00645C2F">
      <w:r>
        <w:separator/>
      </w:r>
    </w:p>
  </w:footnote>
  <w:footnote w:type="continuationSeparator" w:id="0">
    <w:p w14:paraId="3B9511E9" w14:textId="77777777" w:rsidR="00645C2F" w:rsidRDefault="0064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83F1" w14:textId="77777777" w:rsidR="009239F7" w:rsidRPr="002F6A28" w:rsidRDefault="00645C2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2B5BA7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BE9808" w14:textId="77777777" w:rsidR="009239F7" w:rsidRPr="002F6A28" w:rsidRDefault="00645C2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DB44F8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C783" w14:textId="77777777" w:rsidR="009239F7" w:rsidRPr="002F6A28" w:rsidRDefault="00645C2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G/TBT/N/GBR/98</w:t>
    </w:r>
    <w:bookmarkEnd w:id="0"/>
  </w:p>
  <w:p w14:paraId="717CBBF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42CDBD" w14:textId="77777777" w:rsidR="009239F7" w:rsidRPr="002F6A28" w:rsidRDefault="00645C2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2DBA6B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079D" w14:paraId="39F943A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18333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724CC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59079D" w14:paraId="3C1EECF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A5BFE1" w14:textId="77777777" w:rsidR="00ED54E0" w:rsidRPr="009239F7" w:rsidRDefault="00645C2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1F10FE" wp14:editId="13DBA58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5975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BEDC8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9079D" w14:paraId="20737A1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75122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471167" w14:textId="77777777" w:rsidR="009239F7" w:rsidRPr="002F6A28" w:rsidRDefault="00645C2F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G/TBT/N/GBR/98</w:t>
          </w:r>
          <w:bookmarkEnd w:id="2"/>
        </w:p>
      </w:tc>
    </w:tr>
    <w:tr w:rsidR="0059079D" w14:paraId="41F8E90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F2D3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15F8DD" w14:textId="63675C69" w:rsidR="00ED54E0" w:rsidRPr="009239F7" w:rsidRDefault="00645C2F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24 January 2025</w:t>
          </w:r>
        </w:p>
      </w:tc>
    </w:tr>
    <w:tr w:rsidR="0059079D" w14:paraId="4568026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0FF0CF" w14:textId="7E7DB9C7" w:rsidR="00ED54E0" w:rsidRPr="009239F7" w:rsidRDefault="00645C2F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25</w:t>
          </w:r>
          <w:r w:rsidR="00146C15">
            <w:rPr>
              <w:color w:val="FF0000"/>
              <w:szCs w:val="16"/>
            </w:rPr>
            <w:t>-0635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95EB12" w14:textId="77777777" w:rsidR="00ED54E0" w:rsidRPr="009239F7" w:rsidRDefault="00645C2F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59079D" w14:paraId="628FCAB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303235" w14:textId="77777777" w:rsidR="00ED54E0" w:rsidRPr="009239F7" w:rsidRDefault="00645C2F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02F578" w14:textId="77777777" w:rsidR="00ED54E0" w:rsidRPr="002F6A28" w:rsidRDefault="00645C2F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161C62C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4A17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0A30AC" w:tentative="1">
      <w:start w:val="1"/>
      <w:numFmt w:val="lowerLetter"/>
      <w:lvlText w:val="%2."/>
      <w:lvlJc w:val="left"/>
      <w:pPr>
        <w:ind w:left="1080" w:hanging="360"/>
      </w:pPr>
    </w:lvl>
    <w:lvl w:ilvl="2" w:tplc="7DAEEBF4" w:tentative="1">
      <w:start w:val="1"/>
      <w:numFmt w:val="lowerRoman"/>
      <w:lvlText w:val="%3."/>
      <w:lvlJc w:val="right"/>
      <w:pPr>
        <w:ind w:left="1800" w:hanging="180"/>
      </w:pPr>
    </w:lvl>
    <w:lvl w:ilvl="3" w:tplc="80220314" w:tentative="1">
      <w:start w:val="1"/>
      <w:numFmt w:val="decimal"/>
      <w:lvlText w:val="%4."/>
      <w:lvlJc w:val="left"/>
      <w:pPr>
        <w:ind w:left="2520" w:hanging="360"/>
      </w:pPr>
    </w:lvl>
    <w:lvl w:ilvl="4" w:tplc="88E07824" w:tentative="1">
      <w:start w:val="1"/>
      <w:numFmt w:val="lowerLetter"/>
      <w:lvlText w:val="%5."/>
      <w:lvlJc w:val="left"/>
      <w:pPr>
        <w:ind w:left="3240" w:hanging="360"/>
      </w:pPr>
    </w:lvl>
    <w:lvl w:ilvl="5" w:tplc="6E367188" w:tentative="1">
      <w:start w:val="1"/>
      <w:numFmt w:val="lowerRoman"/>
      <w:lvlText w:val="%6."/>
      <w:lvlJc w:val="right"/>
      <w:pPr>
        <w:ind w:left="3960" w:hanging="180"/>
      </w:pPr>
    </w:lvl>
    <w:lvl w:ilvl="6" w:tplc="01764E44" w:tentative="1">
      <w:start w:val="1"/>
      <w:numFmt w:val="decimal"/>
      <w:lvlText w:val="%7."/>
      <w:lvlJc w:val="left"/>
      <w:pPr>
        <w:ind w:left="4680" w:hanging="360"/>
      </w:pPr>
    </w:lvl>
    <w:lvl w:ilvl="7" w:tplc="DEDA0DF4" w:tentative="1">
      <w:start w:val="1"/>
      <w:numFmt w:val="lowerLetter"/>
      <w:lvlText w:val="%8."/>
      <w:lvlJc w:val="left"/>
      <w:pPr>
        <w:ind w:left="5400" w:hanging="360"/>
      </w:pPr>
    </w:lvl>
    <w:lvl w:ilvl="8" w:tplc="A5681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9783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E85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823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74E5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E4A4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2E52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E2ED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727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3A5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62067204">
    <w:abstractNumId w:val="9"/>
  </w:num>
  <w:num w:numId="2" w16cid:durableId="505485548">
    <w:abstractNumId w:val="7"/>
  </w:num>
  <w:num w:numId="3" w16cid:durableId="664819175">
    <w:abstractNumId w:val="6"/>
  </w:num>
  <w:num w:numId="4" w16cid:durableId="1397896256">
    <w:abstractNumId w:val="5"/>
  </w:num>
  <w:num w:numId="5" w16cid:durableId="2100254099">
    <w:abstractNumId w:val="4"/>
  </w:num>
  <w:num w:numId="6" w16cid:durableId="1957519838">
    <w:abstractNumId w:val="12"/>
  </w:num>
  <w:num w:numId="7" w16cid:durableId="1911646488">
    <w:abstractNumId w:val="11"/>
  </w:num>
  <w:num w:numId="8" w16cid:durableId="591822079">
    <w:abstractNumId w:val="10"/>
  </w:num>
  <w:num w:numId="9" w16cid:durableId="709305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5111425">
    <w:abstractNumId w:val="13"/>
  </w:num>
  <w:num w:numId="11" w16cid:durableId="1083836609">
    <w:abstractNumId w:val="8"/>
  </w:num>
  <w:num w:numId="12" w16cid:durableId="1496340924">
    <w:abstractNumId w:val="3"/>
  </w:num>
  <w:num w:numId="13" w16cid:durableId="2060740092">
    <w:abstractNumId w:val="2"/>
  </w:num>
  <w:num w:numId="14" w16cid:durableId="2072919498">
    <w:abstractNumId w:val="1"/>
  </w:num>
  <w:num w:numId="15" w16cid:durableId="482889538">
    <w:abstractNumId w:val="0"/>
  </w:num>
  <w:num w:numId="16" w16cid:durableId="21273812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46C15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79D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45C2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3B90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23EF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56B7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5/TBT/GBR/25_00918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TEnquiriesUK@businessandtrade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consultations/smarter-regulation-fire-safety-of-domestic-upholstered-furnitur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BTEnquiriesUK@businessandtrade.gov.uk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B59A8-C42D-4602-B0C8-F916C10F06B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2025-01-24T07:58:00Z</dcterms:created>
  <dcterms:modified xsi:type="dcterms:W3CDTF">2025-01-24T08:14:00Z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